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60" w:rsidRDefault="00737B60" w:rsidP="00FD6E46">
      <w:pPr>
        <w:pStyle w:val="Heading1"/>
        <w:bidi/>
        <w:jc w:val="center"/>
        <w:rPr>
          <w:rFonts w:hint="cs"/>
          <w:rtl/>
        </w:rPr>
      </w:pPr>
      <w:bookmarkStart w:id="0" w:name="_GoBack"/>
      <w:bookmarkEnd w:id="0"/>
      <w:r w:rsidRPr="003D365F">
        <w:rPr>
          <w:rtl/>
        </w:rPr>
        <w:t>הדרמה הישראלית בטלוויזיה</w:t>
      </w:r>
    </w:p>
    <w:p w:rsidR="003B7324" w:rsidRPr="003B7324" w:rsidRDefault="003B7324" w:rsidP="003B7324">
      <w:pPr>
        <w:pStyle w:val="Heading1"/>
        <w:bidi/>
        <w:jc w:val="center"/>
        <w:rPr>
          <w:sz w:val="40"/>
          <w:szCs w:val="40"/>
        </w:rPr>
      </w:pPr>
      <w:r w:rsidRPr="003B7324">
        <w:rPr>
          <w:sz w:val="40"/>
          <w:szCs w:val="40"/>
        </w:rPr>
        <w:t>Television Drama in Israel</w:t>
      </w:r>
    </w:p>
    <w:p w:rsidR="00737B60" w:rsidRPr="003D365F" w:rsidRDefault="00737B60" w:rsidP="00FD6E46">
      <w:pPr>
        <w:pStyle w:val="Heading2"/>
        <w:bidi/>
        <w:jc w:val="center"/>
        <w:rPr>
          <w:rtl/>
        </w:rPr>
      </w:pPr>
      <w:r w:rsidRPr="003D365F">
        <w:rPr>
          <w:rtl/>
        </w:rPr>
        <w:t>בית הספר לקולנוע וטלוויזיה ע"ש סטיב טיש</w:t>
      </w:r>
    </w:p>
    <w:p w:rsidR="00737B60" w:rsidRPr="003D365F" w:rsidRDefault="00737B60" w:rsidP="00FD6E46">
      <w:pPr>
        <w:pStyle w:val="Heading2"/>
        <w:bidi/>
        <w:jc w:val="center"/>
        <w:rPr>
          <w:rFonts w:hint="cs"/>
          <w:rtl/>
        </w:rPr>
      </w:pPr>
      <w:r w:rsidRPr="003D365F">
        <w:rPr>
          <w:rtl/>
        </w:rPr>
        <w:t>תשע"ח סמסטר ב'</w:t>
      </w:r>
    </w:p>
    <w:p w:rsidR="00737B60" w:rsidRPr="003D365F" w:rsidRDefault="00737B60" w:rsidP="00FD6E46">
      <w:pPr>
        <w:pStyle w:val="Heading2"/>
        <w:bidi/>
        <w:jc w:val="center"/>
        <w:rPr>
          <w:rtl/>
        </w:rPr>
      </w:pPr>
      <w:r w:rsidRPr="003D365F">
        <w:rPr>
          <w:rtl/>
        </w:rPr>
        <w:t>מרצה: ד"ר איתי חרל"פ</w:t>
      </w:r>
    </w:p>
    <w:p w:rsidR="00737B60" w:rsidRPr="003D365F" w:rsidRDefault="00737B60" w:rsidP="00FD6E46">
      <w:pPr>
        <w:pStyle w:val="Heading2"/>
        <w:jc w:val="center"/>
      </w:pPr>
      <w:r w:rsidRPr="003D365F">
        <w:t>itay.harlap@gmail.com</w:t>
      </w:r>
    </w:p>
    <w:p w:rsidR="00737B60" w:rsidRPr="003D365F" w:rsidRDefault="00737B60" w:rsidP="003D365F">
      <w:pPr>
        <w:bidi w:val="0"/>
      </w:pPr>
    </w:p>
    <w:p w:rsidR="00DF025F" w:rsidRPr="003D365F" w:rsidRDefault="00DF025F" w:rsidP="003D365F">
      <w:pPr>
        <w:pStyle w:val="Heading2"/>
        <w:bidi/>
        <w:rPr>
          <w:rFonts w:hint="cs"/>
          <w:rtl/>
        </w:rPr>
      </w:pPr>
      <w:r w:rsidRPr="003D365F">
        <w:rPr>
          <w:rtl/>
        </w:rPr>
        <w:t>תיאור הקורס</w:t>
      </w:r>
    </w:p>
    <w:p w:rsidR="00283F9B" w:rsidRDefault="00F36EA9" w:rsidP="003D365F">
      <w:pPr>
        <w:rPr>
          <w:rFonts w:hint="cs"/>
          <w:rtl/>
        </w:rPr>
      </w:pPr>
      <w:r w:rsidRPr="003D365F">
        <w:rPr>
          <w:rtl/>
        </w:rPr>
        <w:t xml:space="preserve">הטלוויזיה הישראלית בכללה, והדרמה הטלוויזיונית בפרט, עברו שינויים רבים בשנים האחרונות, הקשורים חלקם לתהליכים גלובליים (כמו התפתחויות טכנולוגיות, יצירתם של ז'אנרים ומבנים נרטיביים חדשים, הרחבת פלטפורמות הצפייה ועוד), חלקם להתפתחות הטלוויזיה בישראל (מכניסתו של ערוץ מסחרי ראשון בשנות ה-90, דרך פריחת היצירה הדרמטית בכבלים ובלוויין, ועד ניצני יצירה דרמטית באינטרנט), וחלקם לתהליכים תרבותיים ואידיאולוגיים המיוחדים לתרבות הישראלית. בין תהליכים אלו ניתן למצוא את החדירה של השיח הפוסט ציוני לתרבות הפופולרית, התגברות שיח הטראומה והקורבנות, חלחול השיח הפמיניסטי והקווירי לאתרים רבים, עלייתו של שיח מזרחי ביקורתי, דור חדש של יוצרים ויוצרות דתיים אשר החל ליצור קולנוע וטלוויזיה, ועוד. שינויים אלו בתרבות הטלוויזיה ובתרבות הישראלית השפיעו באופן ניכר על אופיים של טקסטים </w:t>
      </w:r>
      <w:r w:rsidR="00283F9B" w:rsidRPr="003D365F">
        <w:rPr>
          <w:rtl/>
        </w:rPr>
        <w:t>בטלוויזיה הישראלית – ומטרתו ש</w:t>
      </w:r>
      <w:r w:rsidR="003924F8" w:rsidRPr="003D365F">
        <w:rPr>
          <w:rtl/>
        </w:rPr>
        <w:t xml:space="preserve">ל קורס זה הוא לבחון שינוים אלו – כאשר הוא יתמקד במספר טקסטים מרכזיים מתחילתה של הטלוויזיה הישראלית ועד ימינו. </w:t>
      </w:r>
    </w:p>
    <w:p w:rsidR="003B7324" w:rsidRDefault="003B7324" w:rsidP="003D365F">
      <w:pPr>
        <w:rPr>
          <w:rFonts w:hint="cs"/>
          <w:rtl/>
        </w:rPr>
      </w:pPr>
    </w:p>
    <w:p w:rsidR="003B7324" w:rsidRPr="002355EB" w:rsidRDefault="003B7324" w:rsidP="003B7324">
      <w:pPr>
        <w:bidi w:val="0"/>
      </w:pPr>
      <w:r w:rsidRPr="002355EB">
        <w:t>In his book on contemporary Israeli cinema, Moshe Zimmerman writes that Israeli television has developed considerably in recent years and suggests that drama is the most interesting genre on television screens today. Despite such statements and the feeling that Israeli television, and particularly Israeli dramas, has become an important aspect of Israeli culture, surprisingly little academic research and writing has been devoted to this topic. In an attempt to fill in this gap, this course will suggest various theoretical approaches to studying Israeli television dramas. We will discuss Channel One's "high-brow dramas", Channel Two's popular dramas, and the current wealth of dramas available on satellite and cable channels</w:t>
      </w:r>
      <w:r w:rsidRPr="002355EB">
        <w:rPr>
          <w:rtl/>
        </w:rPr>
        <w:t>.</w:t>
      </w:r>
    </w:p>
    <w:p w:rsidR="003B7324" w:rsidRPr="003B7324" w:rsidRDefault="003B7324" w:rsidP="003D365F">
      <w:pPr>
        <w:rPr>
          <w:rFonts w:hint="cs"/>
          <w:rtl/>
        </w:rPr>
      </w:pPr>
    </w:p>
    <w:p w:rsidR="00DF025F" w:rsidRPr="003D365F" w:rsidRDefault="00DF025F" w:rsidP="003D365F">
      <w:pPr>
        <w:pStyle w:val="Heading2"/>
        <w:bidi/>
        <w:rPr>
          <w:rtl/>
        </w:rPr>
      </w:pPr>
      <w:r w:rsidRPr="003D365F">
        <w:rPr>
          <w:rtl/>
        </w:rPr>
        <w:t>חובות הסטודנטים והסטודנטיות:</w:t>
      </w:r>
    </w:p>
    <w:p w:rsidR="00DF025F" w:rsidRPr="003D365F" w:rsidRDefault="00DF025F" w:rsidP="003D365F">
      <w:pPr>
        <w:pStyle w:val="ListParagraph"/>
        <w:numPr>
          <w:ilvl w:val="0"/>
          <w:numId w:val="2"/>
        </w:numPr>
        <w:rPr>
          <w:rtl/>
        </w:rPr>
      </w:pPr>
      <w:r w:rsidRPr="003D365F">
        <w:rPr>
          <w:rtl/>
        </w:rPr>
        <w:t>קריאת החומר הביבליוגראפי במהלך הסמסטר.</w:t>
      </w:r>
    </w:p>
    <w:p w:rsidR="00DF025F" w:rsidRPr="003D365F" w:rsidRDefault="00DF025F" w:rsidP="003D365F">
      <w:pPr>
        <w:pStyle w:val="ListParagraph"/>
        <w:numPr>
          <w:ilvl w:val="0"/>
          <w:numId w:val="2"/>
        </w:numPr>
        <w:rPr>
          <w:rtl/>
        </w:rPr>
      </w:pPr>
      <w:r w:rsidRPr="003D365F">
        <w:rPr>
          <w:rtl/>
        </w:rPr>
        <w:t>מבחן מסכם. ציון "עובר" הוא תנאי לקבלת קרדיט בקורס. [המבחן יהיה בנוי משאלות רבות ברירה (מבחן אמריקאי) והוא ייבחן את קריאת מאמרי החובה, את הבנת החומר הנלמד במהלך הקורס, כולל בקיאות על דוגמאות טלוויזיוניות מרכזיות שהוצגו בכיתה וצפיית החובה]</w:t>
      </w:r>
    </w:p>
    <w:p w:rsidR="003924F8" w:rsidRPr="003D365F" w:rsidRDefault="003924F8" w:rsidP="003D365F">
      <w:pPr>
        <w:bidi w:val="0"/>
        <w:rPr>
          <w:rFonts w:eastAsia="Times New Roman"/>
          <w:sz w:val="36"/>
          <w:szCs w:val="36"/>
        </w:rPr>
      </w:pPr>
      <w:r w:rsidRPr="003D365F">
        <w:rPr>
          <w:rtl/>
        </w:rPr>
        <w:br w:type="page"/>
      </w:r>
    </w:p>
    <w:p w:rsidR="00DF025F" w:rsidRPr="003D365F" w:rsidRDefault="00DF025F" w:rsidP="003D365F">
      <w:pPr>
        <w:pStyle w:val="Heading2"/>
        <w:bidi/>
        <w:rPr>
          <w:rtl/>
        </w:rPr>
      </w:pPr>
      <w:r w:rsidRPr="003D365F">
        <w:rPr>
          <w:rtl/>
        </w:rPr>
        <w:lastRenderedPageBreak/>
        <w:t>תכנית השיעורים:</w:t>
      </w:r>
    </w:p>
    <w:p w:rsidR="00DF025F" w:rsidRPr="003D365F" w:rsidRDefault="00713F5E" w:rsidP="004A0D2B">
      <w:pPr>
        <w:pStyle w:val="Heading3"/>
        <w:rPr>
          <w:rtl/>
        </w:rPr>
      </w:pPr>
      <w:r w:rsidRPr="003D365F">
        <w:rPr>
          <w:rtl/>
        </w:rPr>
        <w:t>שיעור</w:t>
      </w:r>
      <w:r w:rsidR="001A5194" w:rsidRPr="003D365F">
        <w:rPr>
          <w:rtl/>
        </w:rPr>
        <w:t>ים</w:t>
      </w:r>
      <w:r w:rsidRPr="003D365F">
        <w:rPr>
          <w:rtl/>
        </w:rPr>
        <w:t xml:space="preserve"> </w:t>
      </w:r>
      <w:r w:rsidR="001A5194" w:rsidRPr="003D365F">
        <w:t>1-2</w:t>
      </w:r>
      <w:r w:rsidR="00703BD3" w:rsidRPr="003D365F">
        <w:rPr>
          <w:rtl/>
        </w:rPr>
        <w:t>:</w:t>
      </w:r>
      <w:r w:rsidRPr="003D365F">
        <w:rPr>
          <w:rtl/>
        </w:rPr>
        <w:t xml:space="preserve"> דרמה ישראלי</w:t>
      </w:r>
      <w:r w:rsidR="00703BD3" w:rsidRPr="003D365F">
        <w:rPr>
          <w:rtl/>
        </w:rPr>
        <w:t>ת</w:t>
      </w:r>
      <w:r w:rsidR="004A0D2B">
        <w:rPr>
          <w:rFonts w:hint="cs"/>
          <w:rtl/>
        </w:rPr>
        <w:t xml:space="preserve">: </w:t>
      </w:r>
      <w:r w:rsidRPr="003D365F">
        <w:rPr>
          <w:rtl/>
        </w:rPr>
        <w:t>היסטוריה ומושגים מרכזיים</w:t>
      </w:r>
      <w:r w:rsidR="00EF3427" w:rsidRPr="003D365F">
        <w:rPr>
          <w:rtl/>
        </w:rPr>
        <w:t>.</w:t>
      </w:r>
    </w:p>
    <w:p w:rsidR="003D365F" w:rsidRPr="003D365F" w:rsidRDefault="003D365F" w:rsidP="003D365F">
      <w:pPr>
        <w:rPr>
          <w:color w:val="666666"/>
          <w:rtl/>
        </w:rPr>
      </w:pPr>
      <w:r w:rsidRPr="003D365F">
        <w:rPr>
          <w:rtl/>
        </w:rPr>
        <w:t xml:space="preserve">שיעור זה יציג את ארבעת השלבים בהתפתחות הטלוויזיה הישראלית, בדגש על ז'אנר הדרמה. נתחיל מהשלב בו דנו בצורך, מחד גיסא, ובסכנה, מאידך גיסא, בקיומה של טלוויזיה בחברה הישראלית, דרך התקופה בה "הטלוויזיה הישראלית", לימים "הערוץ הראשון", הייתה פחות או יותר האופציה היחידה לצופים הישראלים (מלבד הטלוויזיה החינוכית וערוצים ממדינות ערב שנקלטו כאן), דרך עליית הערוצים המסחריים, ערוצי הכבלים והלווין ותוכניות הרשת. </w:t>
      </w:r>
      <w:r w:rsidRPr="003D365F">
        <w:rPr>
          <w:color w:val="666666"/>
          <w:rtl/>
        </w:rPr>
        <w:t xml:space="preserve"> </w:t>
      </w:r>
    </w:p>
    <w:p w:rsidR="00713F5E" w:rsidRPr="003D365F" w:rsidRDefault="00DF025F" w:rsidP="003D365F">
      <w:pPr>
        <w:pStyle w:val="NoSpacing"/>
        <w:rPr>
          <w:rtl/>
        </w:rPr>
      </w:pPr>
      <w:r w:rsidRPr="003D365F">
        <w:rPr>
          <w:rtl/>
        </w:rPr>
        <w:t>קריאת חובה:</w:t>
      </w:r>
    </w:p>
    <w:p w:rsidR="0085543C" w:rsidRPr="003D365F" w:rsidRDefault="0085543C" w:rsidP="003D365F">
      <w:pPr>
        <w:pStyle w:val="a1"/>
        <w:rPr>
          <w:rtl/>
        </w:rPr>
      </w:pPr>
      <w:r w:rsidRPr="003D365F">
        <w:rPr>
          <w:rtl/>
        </w:rPr>
        <w:t xml:space="preserve">חרל"פ, איתי. "דרמה בשלושה חלקים (ופרולוג): היסטוריוגרפיה של הדרמה הישראלית בטלוויזיה" </w:t>
      </w:r>
      <w:r w:rsidRPr="003D365F">
        <w:rPr>
          <w:b/>
          <w:bCs/>
          <w:rtl/>
        </w:rPr>
        <w:t>מסגרות מדיה</w:t>
      </w:r>
      <w:r w:rsidRPr="003D365F">
        <w:rPr>
          <w:rStyle w:val="apple-converted-space"/>
          <w:rtl/>
        </w:rPr>
        <w:t> </w:t>
      </w:r>
      <w:r w:rsidRPr="003D365F">
        <w:rPr>
          <w:rtl/>
        </w:rPr>
        <w:t>12 (2014): 29-52.</w:t>
      </w:r>
    </w:p>
    <w:p w:rsidR="00DF025F" w:rsidRPr="003D365F" w:rsidRDefault="00713F5E" w:rsidP="003D365F">
      <w:pPr>
        <w:pStyle w:val="Heading3"/>
        <w:rPr>
          <w:rtl/>
        </w:rPr>
      </w:pPr>
      <w:r w:rsidRPr="003D365F">
        <w:rPr>
          <w:rtl/>
        </w:rPr>
        <w:t>שיעורים</w:t>
      </w:r>
      <w:r w:rsidR="00703BD3" w:rsidRPr="003D365F">
        <w:rPr>
          <w:rtl/>
        </w:rPr>
        <w:t xml:space="preserve"> </w:t>
      </w:r>
      <w:r w:rsidR="001A5194" w:rsidRPr="003D365F">
        <w:rPr>
          <w:rtl/>
        </w:rPr>
        <w:t>3-4</w:t>
      </w:r>
      <w:r w:rsidR="00703BD3" w:rsidRPr="003D365F">
        <w:rPr>
          <w:rtl/>
        </w:rPr>
        <w:t xml:space="preserve">: </w:t>
      </w:r>
      <w:r w:rsidRPr="003D365F">
        <w:rPr>
          <w:rtl/>
        </w:rPr>
        <w:t>הדרמות של הערוץ הראשון</w:t>
      </w:r>
    </w:p>
    <w:p w:rsidR="00713F5E" w:rsidRPr="003D365F" w:rsidRDefault="00713F5E" w:rsidP="003D365F">
      <w:pPr>
        <w:rPr>
          <w:rtl/>
        </w:rPr>
      </w:pPr>
      <w:r w:rsidRPr="003D365F">
        <w:rPr>
          <w:rtl/>
        </w:rPr>
        <w:t xml:space="preserve">בשיעורים שלו נתמקד בשלושה סוגים של דרמה שהופיעו בערוץ הראשון </w:t>
      </w:r>
      <w:r w:rsidR="001E7F14" w:rsidRPr="003D365F">
        <w:rPr>
          <w:rtl/>
        </w:rPr>
        <w:t>לאורך השנים</w:t>
      </w:r>
      <w:r w:rsidRPr="003D365F">
        <w:rPr>
          <w:rtl/>
        </w:rPr>
        <w:t xml:space="preserve">: הסדרה </w:t>
      </w:r>
      <w:r w:rsidRPr="003D365F">
        <w:rPr>
          <w:b/>
          <w:bCs/>
          <w:rtl/>
        </w:rPr>
        <w:t>חדוה ושלומיק</w:t>
      </w:r>
      <w:r w:rsidRPr="003D365F">
        <w:rPr>
          <w:rtl/>
        </w:rPr>
        <w:t>, דרמות בודדות של רם לוי (</w:t>
      </w:r>
      <w:r w:rsidRPr="003D365F">
        <w:rPr>
          <w:b/>
          <w:bCs/>
          <w:rtl/>
        </w:rPr>
        <w:t>חרבת חזעה</w:t>
      </w:r>
      <w:r w:rsidRPr="003D365F">
        <w:rPr>
          <w:rtl/>
        </w:rPr>
        <w:t xml:space="preserve">, </w:t>
      </w:r>
      <w:r w:rsidRPr="003D365F">
        <w:rPr>
          <w:b/>
          <w:bCs/>
          <w:rtl/>
        </w:rPr>
        <w:t>אינדיאני בשמש</w:t>
      </w:r>
      <w:r w:rsidRPr="003D365F">
        <w:rPr>
          <w:rtl/>
        </w:rPr>
        <w:t xml:space="preserve">, </w:t>
      </w:r>
      <w:r w:rsidRPr="003D365F">
        <w:rPr>
          <w:b/>
          <w:bCs/>
          <w:rtl/>
        </w:rPr>
        <w:t>לחם</w:t>
      </w:r>
      <w:r w:rsidRPr="003D365F">
        <w:rPr>
          <w:rtl/>
        </w:rPr>
        <w:t xml:space="preserve"> ו</w:t>
      </w:r>
      <w:r w:rsidRPr="003D365F">
        <w:rPr>
          <w:b/>
          <w:bCs/>
          <w:rtl/>
        </w:rPr>
        <w:t>משחקים בחורף</w:t>
      </w:r>
      <w:r w:rsidRPr="003D365F">
        <w:rPr>
          <w:rtl/>
        </w:rPr>
        <w:t>), ומיני-סדרות היסטוריות (</w:t>
      </w:r>
      <w:r w:rsidRPr="003D365F">
        <w:rPr>
          <w:b/>
          <w:bCs/>
          <w:rtl/>
        </w:rPr>
        <w:t>משפט קסטנר</w:t>
      </w:r>
      <w:r w:rsidRPr="003D365F">
        <w:rPr>
          <w:rtl/>
        </w:rPr>
        <w:t>, ו</w:t>
      </w:r>
      <w:r w:rsidRPr="003D365F">
        <w:rPr>
          <w:b/>
          <w:bCs/>
          <w:rtl/>
        </w:rPr>
        <w:t>קו 300</w:t>
      </w:r>
      <w:r w:rsidRPr="003D365F">
        <w:rPr>
          <w:rtl/>
        </w:rPr>
        <w:t>)</w:t>
      </w:r>
    </w:p>
    <w:p w:rsidR="00AD236F" w:rsidRPr="003D365F" w:rsidRDefault="00AD236F" w:rsidP="003D365F">
      <w:pPr>
        <w:pStyle w:val="NoSpacing"/>
        <w:rPr>
          <w:rtl/>
        </w:rPr>
      </w:pPr>
      <w:r w:rsidRPr="003D365F">
        <w:rPr>
          <w:rtl/>
        </w:rPr>
        <w:t>קריאת חובה:</w:t>
      </w:r>
    </w:p>
    <w:p w:rsidR="00512C4D" w:rsidRPr="003D365F" w:rsidRDefault="00512C4D" w:rsidP="003D365F">
      <w:pPr>
        <w:pStyle w:val="a1"/>
      </w:pPr>
      <w:r w:rsidRPr="003D365F">
        <w:rPr>
          <w:rtl/>
        </w:rPr>
        <w:t xml:space="preserve">אלזסר, תומס. "הפואטיקה והפוליטיקה של הפרפרקסיס', בתוך: סנדרה מאירי, יעל מונק, עדיה מנדלסון-מעוס וליאת שטיינר-לבני (עורכות), </w:t>
      </w:r>
      <w:r w:rsidRPr="003D365F">
        <w:rPr>
          <w:b/>
          <w:bCs/>
          <w:rtl/>
        </w:rPr>
        <w:t>זהויות בהתהוות בתרבות הישראלית: ספר היובל לכבוד נורית גרץ</w:t>
      </w:r>
      <w:r w:rsidRPr="003D365F">
        <w:rPr>
          <w:rtl/>
        </w:rPr>
        <w:t>, רעננה 2013 (להלן: אלזסר, הפואטיקה), עמ' 415-414.</w:t>
      </w:r>
    </w:p>
    <w:p w:rsidR="00DF025F" w:rsidRPr="003D365F" w:rsidRDefault="00703BD3" w:rsidP="003D365F">
      <w:pPr>
        <w:pStyle w:val="Heading3"/>
        <w:rPr>
          <w:rtl/>
        </w:rPr>
      </w:pPr>
      <w:r w:rsidRPr="003D365F">
        <w:rPr>
          <w:rtl/>
        </w:rPr>
        <w:t xml:space="preserve">שיעור </w:t>
      </w:r>
      <w:r w:rsidR="001A5194" w:rsidRPr="003D365F">
        <w:rPr>
          <w:rtl/>
        </w:rPr>
        <w:t>5</w:t>
      </w:r>
      <w:r w:rsidRPr="003D365F">
        <w:rPr>
          <w:rtl/>
        </w:rPr>
        <w:t xml:space="preserve">: הצעירים והמגניבים של </w:t>
      </w:r>
      <w:r w:rsidR="00AD236F" w:rsidRPr="003D365F">
        <w:rPr>
          <w:rtl/>
        </w:rPr>
        <w:t>ערוץ השני</w:t>
      </w:r>
    </w:p>
    <w:p w:rsidR="00DF025F" w:rsidRPr="003D365F" w:rsidRDefault="00DF025F" w:rsidP="003D365F">
      <w:pPr>
        <w:rPr>
          <w:sz w:val="27"/>
          <w:szCs w:val="27"/>
          <w:rtl/>
        </w:rPr>
      </w:pPr>
      <w:r w:rsidRPr="003D365F">
        <w:rPr>
          <w:rtl/>
        </w:rPr>
        <w:t>בשיעור זה נבחן שתי דרמות מרכזיות שהופקו עם עלייתו של הערוץ השני: </w:t>
      </w:r>
      <w:r w:rsidRPr="003D365F">
        <w:rPr>
          <w:b/>
          <w:bCs/>
          <w:rtl/>
        </w:rPr>
        <w:t>פלורנטין</w:t>
      </w:r>
      <w:r w:rsidRPr="003D365F">
        <w:rPr>
          <w:rtl/>
        </w:rPr>
        <w:t> ו</w:t>
      </w:r>
      <w:r w:rsidRPr="003D365F">
        <w:rPr>
          <w:b/>
          <w:bCs/>
          <w:rtl/>
        </w:rPr>
        <w:t>הפוך</w:t>
      </w:r>
      <w:r w:rsidRPr="003D365F">
        <w:rPr>
          <w:rtl/>
        </w:rPr>
        <w:t>, ונבחן כיצד הן משקפות תהליכים שהתרחשו בחברה ובקולנוע הישראליים בשנות התשעים.</w:t>
      </w:r>
    </w:p>
    <w:p w:rsidR="00DF025F" w:rsidRPr="003D365F" w:rsidRDefault="00DF025F" w:rsidP="003D365F">
      <w:pPr>
        <w:pStyle w:val="NoSpacing"/>
        <w:rPr>
          <w:rtl/>
        </w:rPr>
      </w:pPr>
      <w:r w:rsidRPr="003D365F">
        <w:rPr>
          <w:rtl/>
        </w:rPr>
        <w:t>קריאת חובה:</w:t>
      </w:r>
    </w:p>
    <w:p w:rsidR="00DF025F" w:rsidRPr="003D365F" w:rsidRDefault="00DF025F" w:rsidP="003D365F">
      <w:pPr>
        <w:pStyle w:val="a1"/>
        <w:rPr>
          <w:rtl/>
        </w:rPr>
      </w:pPr>
      <w:r w:rsidRPr="003D365F">
        <w:rPr>
          <w:rtl/>
        </w:rPr>
        <w:t>טלמון, מירי ותמר תמר. "אומרים ישנה ארץ: מקום וזהות בסדרות הטלוויזיה פלורנטין, ובת-ים ניו-יורק," </w:t>
      </w:r>
      <w:r w:rsidRPr="003D365F">
        <w:rPr>
          <w:b/>
          <w:bCs/>
          <w:rtl/>
        </w:rPr>
        <w:t>קשר</w:t>
      </w:r>
      <w:r w:rsidRPr="003D365F">
        <w:rPr>
          <w:rtl/>
        </w:rPr>
        <w:t xml:space="preserve"> 27 (2000): </w:t>
      </w:r>
      <w:r w:rsidR="00703BD3" w:rsidRPr="003D365F">
        <w:rPr>
          <w:rtl/>
        </w:rPr>
        <w:t>48-41</w:t>
      </w:r>
      <w:r w:rsidRPr="003D365F">
        <w:rPr>
          <w:rtl/>
        </w:rPr>
        <w:t>.</w:t>
      </w:r>
    </w:p>
    <w:p w:rsidR="00DF025F" w:rsidRPr="003D365F" w:rsidRDefault="00DF025F" w:rsidP="003D365F">
      <w:pPr>
        <w:pStyle w:val="Heading3"/>
        <w:rPr>
          <w:rtl/>
        </w:rPr>
      </w:pPr>
      <w:r w:rsidRPr="003D365F">
        <w:rPr>
          <w:sz w:val="27"/>
          <w:szCs w:val="27"/>
        </w:rPr>
        <w:t> </w:t>
      </w:r>
      <w:r w:rsidR="00AD236F" w:rsidRPr="003D365F">
        <w:rPr>
          <w:rtl/>
        </w:rPr>
        <w:t>שיעורים</w:t>
      </w:r>
      <w:r w:rsidR="00703BD3" w:rsidRPr="003D365F">
        <w:rPr>
          <w:rtl/>
        </w:rPr>
        <w:t xml:space="preserve"> </w:t>
      </w:r>
      <w:r w:rsidR="001A5194" w:rsidRPr="003D365F">
        <w:rPr>
          <w:rtl/>
        </w:rPr>
        <w:t>6-7</w:t>
      </w:r>
      <w:r w:rsidR="00703BD3" w:rsidRPr="003D365F">
        <w:rPr>
          <w:rtl/>
        </w:rPr>
        <w:t xml:space="preserve">: </w:t>
      </w:r>
      <w:r w:rsidR="003D365F" w:rsidRPr="003D365F">
        <w:rPr>
          <w:rtl/>
        </w:rPr>
        <w:t>פוסט-טראומה/פוסט טלוויזיה</w:t>
      </w:r>
    </w:p>
    <w:p w:rsidR="003D365F" w:rsidRPr="003D365F" w:rsidRDefault="003D365F" w:rsidP="003D365F">
      <w:pPr>
        <w:rPr>
          <w:b/>
          <w:bCs/>
          <w:rtl/>
        </w:rPr>
      </w:pPr>
      <w:r w:rsidRPr="003D365F">
        <w:rPr>
          <w:rtl/>
        </w:rPr>
        <w:t xml:space="preserve">בשיעורים אלו נדון </w:t>
      </w:r>
      <w:r w:rsidRPr="003D365F">
        <w:rPr>
          <w:rFonts w:hint="cs"/>
          <w:rtl/>
        </w:rPr>
        <w:t>באחד</w:t>
      </w:r>
      <w:r w:rsidRPr="003D365F">
        <w:rPr>
          <w:rtl/>
        </w:rPr>
        <w:t xml:space="preserve"> המוטיבים המרכזיים של הטלוויזיה הישראלית החדשה – פוסט טראומה. נבחן כיצד מוצגים גיבורים אשר חוו בעברם אירוע טראומתי וכיצד הייחודיות של הטקסט הטלוויזיוני מאפשרת הצגה מורכבת ומעניינת לחוויה הפוסט-טראומתית. בין הסדרות שנדון בהם: </w:t>
      </w:r>
      <w:r w:rsidRPr="003D365F">
        <w:rPr>
          <w:b/>
          <w:bCs/>
          <w:rtl/>
        </w:rPr>
        <w:t>פרשת השבוע</w:t>
      </w:r>
      <w:r w:rsidRPr="003D365F">
        <w:rPr>
          <w:rtl/>
        </w:rPr>
        <w:t xml:space="preserve">, </w:t>
      </w:r>
      <w:r w:rsidRPr="003D365F">
        <w:rPr>
          <w:b/>
          <w:bCs/>
          <w:rtl/>
        </w:rPr>
        <w:t>נבלות</w:t>
      </w:r>
      <w:r w:rsidRPr="003D365F">
        <w:rPr>
          <w:rtl/>
        </w:rPr>
        <w:t xml:space="preserve">, </w:t>
      </w:r>
      <w:r w:rsidRPr="003D365F">
        <w:rPr>
          <w:b/>
          <w:bCs/>
          <w:rtl/>
        </w:rPr>
        <w:t>בטיפול</w:t>
      </w:r>
      <w:r w:rsidRPr="003D365F">
        <w:rPr>
          <w:rtl/>
        </w:rPr>
        <w:t xml:space="preserve">, </w:t>
      </w:r>
      <w:r w:rsidRPr="003D365F">
        <w:rPr>
          <w:b/>
          <w:bCs/>
          <w:rtl/>
        </w:rPr>
        <w:t>פצועים בראש</w:t>
      </w:r>
      <w:r w:rsidRPr="003D365F">
        <w:rPr>
          <w:rtl/>
        </w:rPr>
        <w:t xml:space="preserve"> ו</w:t>
      </w:r>
      <w:r w:rsidRPr="003D365F">
        <w:rPr>
          <w:b/>
          <w:bCs/>
          <w:rtl/>
        </w:rPr>
        <w:t>חטופים.</w:t>
      </w:r>
    </w:p>
    <w:p w:rsidR="003D365F" w:rsidRPr="003D365F" w:rsidRDefault="003D365F" w:rsidP="003D365F">
      <w:pPr>
        <w:pStyle w:val="NoSpacing"/>
        <w:rPr>
          <w:color w:val="666666"/>
          <w:sz w:val="21"/>
          <w:szCs w:val="21"/>
          <w:rtl/>
        </w:rPr>
      </w:pPr>
      <w:r w:rsidRPr="003D365F">
        <w:rPr>
          <w:rtl/>
        </w:rPr>
        <w:t>קריאת חובה:</w:t>
      </w:r>
    </w:p>
    <w:p w:rsidR="003D365F" w:rsidRPr="003D365F" w:rsidRDefault="003D365F" w:rsidP="003D365F">
      <w:pPr>
        <w:rPr>
          <w:rFonts w:hint="cs"/>
          <w:rtl/>
        </w:rPr>
      </w:pPr>
      <w:r w:rsidRPr="003D365F">
        <w:rPr>
          <w:rtl/>
        </w:rPr>
        <w:t xml:space="preserve">לה קפרה, דומיניק. "טראומה, היעדר, אובדן", </w:t>
      </w:r>
      <w:r w:rsidRPr="003D365F">
        <w:rPr>
          <w:b/>
          <w:bCs/>
          <w:rtl/>
        </w:rPr>
        <w:t>לכתוב היסטוריה לכתוב טראומה</w:t>
      </w:r>
      <w:r w:rsidRPr="003D365F">
        <w:t xml:space="preserve">. </w:t>
      </w:r>
      <w:r w:rsidRPr="003D365F">
        <w:rPr>
          <w:rtl/>
        </w:rPr>
        <w:t>תרגום: יניב פרקש. תל אביב: רסלינג, 2006. 113-75</w:t>
      </w:r>
      <w:r w:rsidRPr="003D365F">
        <w:t>.</w:t>
      </w:r>
    </w:p>
    <w:p w:rsidR="003D365F" w:rsidRPr="003D365F" w:rsidRDefault="003D365F" w:rsidP="003D365F">
      <w:pPr>
        <w:pStyle w:val="Heading3"/>
      </w:pPr>
      <w:r w:rsidRPr="003D365F">
        <w:rPr>
          <w:rtl/>
        </w:rPr>
        <w:lastRenderedPageBreak/>
        <w:t xml:space="preserve">שיעורים 8-9: קופסא שחורה: הנרטיב המזרחי החדש והדרמה הישראלית </w:t>
      </w:r>
    </w:p>
    <w:p w:rsidR="003D365F" w:rsidRPr="003D365F" w:rsidRDefault="003D365F" w:rsidP="003D365F">
      <w:pPr>
        <w:rPr>
          <w:b/>
          <w:bCs/>
          <w:rtl/>
        </w:rPr>
      </w:pPr>
      <w:r w:rsidRPr="003D365F">
        <w:rPr>
          <w:rtl/>
        </w:rPr>
        <w:t>שיעור זה יתמקד בשינוי שחל בייצוג יהודים שהיגרו מארצות ערב וצפון אפריקה (מה שמכונה בישראל "מזרחיים") ובהשפעה של הנרטיב המזרחי החדש על ייצוגים אלו.</w:t>
      </w:r>
      <w:r>
        <w:rPr>
          <w:rFonts w:hint="cs"/>
          <w:rtl/>
        </w:rPr>
        <w:t xml:space="preserve"> הסדרה המרכזית שנדון בה היא </w:t>
      </w:r>
      <w:r>
        <w:rPr>
          <w:rFonts w:hint="cs"/>
          <w:b/>
          <w:bCs/>
          <w:rtl/>
        </w:rPr>
        <w:t>זגורי אימפריה.</w:t>
      </w:r>
    </w:p>
    <w:p w:rsidR="003D365F" w:rsidRPr="003D365F" w:rsidRDefault="003D365F" w:rsidP="003D365F">
      <w:pPr>
        <w:pStyle w:val="NoSpacing"/>
        <w:rPr>
          <w:rtl/>
        </w:rPr>
      </w:pPr>
      <w:r w:rsidRPr="003D365F">
        <w:rPr>
          <w:rtl/>
        </w:rPr>
        <w:t>קריאת חובה:</w:t>
      </w:r>
    </w:p>
    <w:p w:rsidR="003D365F" w:rsidRPr="003D365F" w:rsidRDefault="003D365F" w:rsidP="003D365F">
      <w:pPr>
        <w:pStyle w:val="a1"/>
        <w:rPr>
          <w:rtl/>
        </w:rPr>
      </w:pPr>
      <w:r w:rsidRPr="003D365F">
        <w:rPr>
          <w:rtl/>
        </w:rPr>
        <w:t xml:space="preserve">לובין, אורלי. "שחור", </w:t>
      </w:r>
      <w:r w:rsidRPr="003D365F">
        <w:rPr>
          <w:b/>
          <w:bCs/>
          <w:rtl/>
        </w:rPr>
        <w:t>תיאוריה וביקורת</w:t>
      </w:r>
      <w:r w:rsidRPr="003D365F">
        <w:rPr>
          <w:rtl/>
        </w:rPr>
        <w:t xml:space="preserve"> 12-13 (1998): 423-432. </w:t>
      </w:r>
    </w:p>
    <w:p w:rsidR="003D365F" w:rsidRPr="003D365F" w:rsidRDefault="003D365F" w:rsidP="003D365F">
      <w:pPr>
        <w:pStyle w:val="Heading3"/>
      </w:pPr>
      <w:r w:rsidRPr="003D365F">
        <w:rPr>
          <w:rtl/>
        </w:rPr>
        <w:t xml:space="preserve">שיעור 10: סרוגים במודרנה: הדרמה של הדתיים והחרדים </w:t>
      </w:r>
    </w:p>
    <w:p w:rsidR="003D365F" w:rsidRPr="003D365F" w:rsidRDefault="003D365F" w:rsidP="003D365F">
      <w:pPr>
        <w:rPr>
          <w:rtl/>
        </w:rPr>
      </w:pPr>
      <w:r w:rsidRPr="003D365F">
        <w:rPr>
          <w:rtl/>
        </w:rPr>
        <w:t>אחת התופעות הבולטות של העשור האחרון היא העלייה של דרמות העוסקות בדתיים וחרדים, שנטו להיעדר או להופיע בקצובה בדרמה הישראלית בטלוויזיה. בשיעור זה נבחן מה הוביל לתופעה זו, מה מאפיין את הייצוג של הדתיים והחרדים בדרמה החדשה וכיצד דרמות אלו מתמודדות עם המתח שעלול להיווצר בין הטלוויזיה "החילונית" ואורח החיים הדתי.</w:t>
      </w:r>
      <w:r>
        <w:rPr>
          <w:rFonts w:hint="cs"/>
          <w:rtl/>
        </w:rPr>
        <w:t xml:space="preserve"> בין הסדרות שנדון בהן: </w:t>
      </w:r>
      <w:r>
        <w:rPr>
          <w:rFonts w:hint="cs"/>
          <w:b/>
          <w:bCs/>
          <w:rtl/>
        </w:rPr>
        <w:t>סרוגים</w:t>
      </w:r>
      <w:r>
        <w:rPr>
          <w:rFonts w:hint="cs"/>
          <w:rtl/>
        </w:rPr>
        <w:t xml:space="preserve">, </w:t>
      </w:r>
      <w:r>
        <w:rPr>
          <w:rFonts w:hint="cs"/>
          <w:b/>
          <w:bCs/>
          <w:rtl/>
        </w:rPr>
        <w:t>אורים ותומים</w:t>
      </w:r>
      <w:r>
        <w:rPr>
          <w:rFonts w:hint="cs"/>
          <w:rtl/>
        </w:rPr>
        <w:t xml:space="preserve"> ו</w:t>
      </w:r>
      <w:r>
        <w:rPr>
          <w:rFonts w:hint="cs"/>
          <w:b/>
          <w:bCs/>
          <w:rtl/>
        </w:rPr>
        <w:t>שטיסל</w:t>
      </w:r>
      <w:r>
        <w:rPr>
          <w:rFonts w:hint="cs"/>
          <w:rtl/>
        </w:rPr>
        <w:t>.</w:t>
      </w:r>
    </w:p>
    <w:p w:rsidR="00DF025F" w:rsidRPr="003D365F" w:rsidRDefault="00927788" w:rsidP="003D365F">
      <w:pPr>
        <w:pStyle w:val="Heading3"/>
        <w:rPr>
          <w:rtl/>
        </w:rPr>
      </w:pPr>
      <w:r w:rsidRPr="003D365F">
        <w:rPr>
          <w:rtl/>
        </w:rPr>
        <w:t xml:space="preserve">שיעור </w:t>
      </w:r>
      <w:r w:rsidR="003D365F">
        <w:rPr>
          <w:rFonts w:hint="cs"/>
          <w:rtl/>
        </w:rPr>
        <w:t>11</w:t>
      </w:r>
      <w:r w:rsidRPr="003D365F">
        <w:rPr>
          <w:rtl/>
        </w:rPr>
        <w:t xml:space="preserve">: </w:t>
      </w:r>
      <w:r w:rsidR="003D365F">
        <w:rPr>
          <w:rFonts w:hint="cs"/>
          <w:rtl/>
        </w:rPr>
        <w:t>הנורמטיבים החדשים</w:t>
      </w:r>
      <w:r w:rsidR="004A0D2B">
        <w:rPr>
          <w:rFonts w:hint="cs"/>
          <w:rtl/>
        </w:rPr>
        <w:t>: אבות גאים בטלוויזיה הישראלית</w:t>
      </w:r>
    </w:p>
    <w:p w:rsidR="003D365F" w:rsidRPr="003D365F" w:rsidRDefault="003D365F" w:rsidP="003D365F">
      <w:pPr>
        <w:rPr>
          <w:rtl/>
        </w:rPr>
      </w:pPr>
      <w:r w:rsidRPr="003D365F">
        <w:rPr>
          <w:rtl/>
        </w:rPr>
        <w:t>לאחר שנים רבות של היעדרות או ייצוג מופחת, בשנים האחרונות ניתן לראות יותר ויותר דמויות חיוביות להט"ביות (לסביות, הומואים טרנס ובי) על מסך הטלוויזיה הישראלי – כולל דמויות של הורים גאים – בדגש על הומואים. שיעור זה יתמקד באופנים בהם מיוצגים האבות ההומואים בטלוויזיה הישראלית – כאשר נבחן הן כתבות חדשות ודוקומנטריות והן יצירות דרמה</w:t>
      </w:r>
      <w:r>
        <w:rPr>
          <w:rFonts w:hint="cs"/>
          <w:rtl/>
        </w:rPr>
        <w:t xml:space="preserve">, בראשן </w:t>
      </w:r>
      <w:r>
        <w:rPr>
          <w:rFonts w:hint="cs"/>
          <w:b/>
          <w:bCs/>
          <w:rtl/>
        </w:rPr>
        <w:t>אמא ואבאז</w:t>
      </w:r>
      <w:r w:rsidRPr="003D365F">
        <w:rPr>
          <w:rtl/>
        </w:rPr>
        <w:t>.</w:t>
      </w:r>
    </w:p>
    <w:p w:rsidR="005A3029" w:rsidRPr="003D365F" w:rsidRDefault="005A3029" w:rsidP="003D365F">
      <w:pPr>
        <w:pStyle w:val="NoSpacing"/>
        <w:rPr>
          <w:rtl/>
        </w:rPr>
      </w:pPr>
      <w:r w:rsidRPr="003D365F">
        <w:rPr>
          <w:rtl/>
        </w:rPr>
        <w:t>קריאת חובה:</w:t>
      </w:r>
    </w:p>
    <w:p w:rsidR="00927788" w:rsidRPr="003D365F" w:rsidRDefault="00927788" w:rsidP="003D365F">
      <w:pPr>
        <w:pStyle w:val="bibeng"/>
      </w:pPr>
      <w:r w:rsidRPr="003D365F">
        <w:t xml:space="preserve">James Allan, “And Baby Makes Three…: Gay Men, Straight Woman, and Parental imperative in Film and Television,” in </w:t>
      </w:r>
      <w:r w:rsidRPr="003D365F">
        <w:rPr>
          <w:i/>
          <w:iCs/>
        </w:rPr>
        <w:t>Media Q: Media/Queered: Visibility and its Discontents</w:t>
      </w:r>
      <w:r w:rsidRPr="003D365F">
        <w:t>, ed.</w:t>
      </w:r>
      <w:r w:rsidRPr="003D365F">
        <w:rPr>
          <w:rStyle w:val="apple-converted-space"/>
          <w:rFonts w:ascii="David" w:hAnsi="David" w:cs="David"/>
        </w:rPr>
        <w:t> </w:t>
      </w:r>
      <w:proofErr w:type="spellStart"/>
      <w:r w:rsidRPr="003D365F">
        <w:t>Barnhurst</w:t>
      </w:r>
      <w:proofErr w:type="spellEnd"/>
      <w:r w:rsidRPr="003D365F">
        <w:t>, Kevin G</w:t>
      </w:r>
      <w:r w:rsidRPr="003D365F">
        <w:rPr>
          <w:rStyle w:val="apple-converted-space"/>
          <w:rFonts w:ascii="David" w:hAnsi="David" w:cs="David"/>
        </w:rPr>
        <w:t xml:space="preserve">. New York: </w:t>
      </w:r>
      <w:r w:rsidRPr="003D365F">
        <w:t xml:space="preserve">Peter Lang, 2007. </w:t>
      </w:r>
      <w:proofErr w:type="gramStart"/>
      <w:r w:rsidRPr="003D365F">
        <w:t>57-72.</w:t>
      </w:r>
      <w:proofErr w:type="gramEnd"/>
    </w:p>
    <w:p w:rsidR="00DF025F" w:rsidRDefault="00927788" w:rsidP="004C61C5">
      <w:pPr>
        <w:pStyle w:val="Heading3"/>
        <w:rPr>
          <w:rtl/>
        </w:rPr>
      </w:pPr>
      <w:r w:rsidRPr="003D365F">
        <w:rPr>
          <w:rtl/>
        </w:rPr>
        <w:t>שיעור</w:t>
      </w:r>
      <w:r w:rsidR="004C61C5">
        <w:rPr>
          <w:rFonts w:hint="cs"/>
          <w:rtl/>
        </w:rPr>
        <w:t>ים 12-13: הנשים</w:t>
      </w:r>
      <w:r w:rsidR="004A0D2B">
        <w:rPr>
          <w:rFonts w:hint="cs"/>
          <w:rtl/>
        </w:rPr>
        <w:t xml:space="preserve"> המוצלחות שלי: היצירה הנשית החדשה</w:t>
      </w:r>
    </w:p>
    <w:p w:rsidR="004A0D2B" w:rsidRDefault="004A0D2B" w:rsidP="004C61C5">
      <w:pPr>
        <w:rPr>
          <w:rtl/>
        </w:rPr>
      </w:pPr>
      <w:r>
        <w:rPr>
          <w:rFonts w:hint="cs"/>
          <w:rtl/>
        </w:rPr>
        <w:t xml:space="preserve">הצלחתה הבינלאומית של הסדרה </w:t>
      </w:r>
      <w:r>
        <w:rPr>
          <w:rFonts w:hint="cs"/>
          <w:b/>
          <w:bCs/>
          <w:rtl/>
        </w:rPr>
        <w:t>בנות</w:t>
      </w:r>
      <w:r>
        <w:rPr>
          <w:rFonts w:hint="cs"/>
          <w:rtl/>
        </w:rPr>
        <w:t xml:space="preserve">, במקביל לתהליכים נוספים בתרבות הישראלית, הובילה בשנים האחרונות ליצירה טלוויזיונית עשירה של נשים, רובה בהקשרים קומיים. כך סדרות כמו </w:t>
      </w:r>
      <w:r>
        <w:rPr>
          <w:rFonts w:hint="cs"/>
          <w:b/>
          <w:bCs/>
          <w:rtl/>
        </w:rPr>
        <w:t>יום האם</w:t>
      </w:r>
      <w:r>
        <w:rPr>
          <w:rFonts w:hint="cs"/>
          <w:rtl/>
        </w:rPr>
        <w:t xml:space="preserve">, </w:t>
      </w:r>
      <w:r>
        <w:rPr>
          <w:rFonts w:hint="cs"/>
          <w:b/>
          <w:bCs/>
          <w:rtl/>
        </w:rPr>
        <w:t>בלתי הפיך</w:t>
      </w:r>
      <w:r w:rsidR="00D467BC">
        <w:rPr>
          <w:rFonts w:hint="cs"/>
          <w:rtl/>
        </w:rPr>
        <w:t xml:space="preserve">, </w:t>
      </w:r>
      <w:r w:rsidR="00D467BC">
        <w:rPr>
          <w:rFonts w:hint="cs"/>
          <w:b/>
          <w:bCs/>
          <w:rtl/>
        </w:rPr>
        <w:t>מטומטמת</w:t>
      </w:r>
      <w:r w:rsidR="004C61C5">
        <w:rPr>
          <w:rFonts w:hint="cs"/>
          <w:rtl/>
        </w:rPr>
        <w:t xml:space="preserve">, </w:t>
      </w:r>
      <w:r w:rsidR="00D467BC">
        <w:rPr>
          <w:rFonts w:hint="cs"/>
          <w:b/>
          <w:bCs/>
          <w:rtl/>
        </w:rPr>
        <w:t>האחיות המוצלחות שלי</w:t>
      </w:r>
      <w:r w:rsidR="00D467BC">
        <w:rPr>
          <w:rFonts w:hint="cs"/>
          <w:rtl/>
        </w:rPr>
        <w:t xml:space="preserve">, </w:t>
      </w:r>
      <w:r w:rsidR="00D467BC">
        <w:rPr>
          <w:rFonts w:hint="cs"/>
          <w:b/>
          <w:bCs/>
          <w:rtl/>
        </w:rPr>
        <w:t>נופלות על הרגליים</w:t>
      </w:r>
      <w:r w:rsidR="004C61C5">
        <w:rPr>
          <w:rFonts w:hint="cs"/>
          <w:b/>
          <w:bCs/>
          <w:rtl/>
        </w:rPr>
        <w:t xml:space="preserve"> </w:t>
      </w:r>
      <w:r w:rsidR="004C61C5">
        <w:rPr>
          <w:rFonts w:hint="cs"/>
          <w:rtl/>
        </w:rPr>
        <w:t xml:space="preserve">ועוד זכו הן לאהדת הביקורת והן לאהדת הצופים. בשיעור זה ננסה לבחון האם ליצירה זו יש אמירה אחרת על המציאות הישראלית, בדגש על מקומה של האישה בה. </w:t>
      </w:r>
    </w:p>
    <w:p w:rsidR="005F2383" w:rsidRDefault="005F2383" w:rsidP="005F2383">
      <w:pPr>
        <w:pStyle w:val="NoSpacing"/>
        <w:rPr>
          <w:rtl/>
        </w:rPr>
      </w:pPr>
      <w:r w:rsidRPr="003D365F">
        <w:rPr>
          <w:rtl/>
        </w:rPr>
        <w:t>קריאת חובה:</w:t>
      </w:r>
    </w:p>
    <w:p w:rsidR="004C61C5" w:rsidRPr="004C61C5" w:rsidRDefault="004C61C5" w:rsidP="004C61C5">
      <w:pPr>
        <w:pStyle w:val="bib"/>
      </w:pPr>
      <w:r w:rsidRPr="004C61C5">
        <w:t>Moseley, Rachel, Helen Wheatley, and Helen Wood, eds. </w:t>
      </w:r>
      <w:r>
        <w:t xml:space="preserve">Introduction, </w:t>
      </w:r>
      <w:r w:rsidRPr="004C61C5">
        <w:rPr>
          <w:i/>
          <w:iCs/>
        </w:rPr>
        <w:t>Television for Women: New Directions</w:t>
      </w:r>
      <w:r w:rsidRPr="004C61C5">
        <w:t>. Routledge, 2016.</w:t>
      </w:r>
      <w:r w:rsidRPr="004C61C5">
        <w:rPr>
          <w:rtl/>
        </w:rPr>
        <w:t>‏</w:t>
      </w:r>
    </w:p>
    <w:p w:rsidR="005F2383" w:rsidRDefault="005F2383" w:rsidP="005F2383">
      <w:pPr>
        <w:rPr>
          <w:color w:val="000000"/>
        </w:rPr>
      </w:pPr>
    </w:p>
    <w:p w:rsidR="004C61C5" w:rsidRDefault="004C61C5" w:rsidP="003D365F">
      <w:pPr>
        <w:pStyle w:val="Heading2"/>
        <w:bidi/>
        <w:rPr>
          <w:rtl/>
        </w:rPr>
      </w:pPr>
    </w:p>
    <w:p w:rsidR="00C22220" w:rsidRPr="003D365F" w:rsidRDefault="00C22220" w:rsidP="004C61C5">
      <w:pPr>
        <w:pStyle w:val="Heading2"/>
        <w:bidi/>
        <w:rPr>
          <w:rtl/>
        </w:rPr>
      </w:pPr>
      <w:r w:rsidRPr="003D365F">
        <w:rPr>
          <w:rtl/>
        </w:rPr>
        <w:lastRenderedPageBreak/>
        <w:t>קריאה נוספת:</w:t>
      </w:r>
    </w:p>
    <w:p w:rsidR="00C22220" w:rsidRPr="003D365F" w:rsidRDefault="002E720B" w:rsidP="003D365F">
      <w:pPr>
        <w:pStyle w:val="Heading3"/>
        <w:rPr>
          <w:rtl/>
        </w:rPr>
      </w:pPr>
      <w:r w:rsidRPr="003D365F">
        <w:rPr>
          <w:rtl/>
        </w:rPr>
        <w:t>דרמה טלוויזיונית</w:t>
      </w:r>
    </w:p>
    <w:p w:rsidR="00C22220" w:rsidRPr="003D365F" w:rsidRDefault="00C22220" w:rsidP="003D365F">
      <w:pPr>
        <w:pStyle w:val="a1"/>
        <w:rPr>
          <w:rtl/>
        </w:rPr>
      </w:pPr>
      <w:r w:rsidRPr="003D365F">
        <w:rPr>
          <w:rtl/>
        </w:rPr>
        <w:t xml:space="preserve">אוריין, דן. </w:t>
      </w:r>
      <w:r w:rsidRPr="003D365F">
        <w:rPr>
          <w:b/>
          <w:bCs/>
          <w:rtl/>
        </w:rPr>
        <w:t>דרמה טלוויזיונית</w:t>
      </w:r>
      <w:r w:rsidRPr="003D365F">
        <w:rPr>
          <w:rtl/>
        </w:rPr>
        <w:t>. מכון מופ"ת, תשס"ד.</w:t>
      </w:r>
    </w:p>
    <w:p w:rsidR="00C22220" w:rsidRPr="003D365F" w:rsidRDefault="00C22220" w:rsidP="003D365F">
      <w:pPr>
        <w:pStyle w:val="bibeng"/>
      </w:pPr>
      <w:r w:rsidRPr="003D365F">
        <w:t xml:space="preserve">Brandt, George W. (Ed.). </w:t>
      </w:r>
      <w:proofErr w:type="gramStart"/>
      <w:r w:rsidRPr="003D365F">
        <w:rPr>
          <w:i/>
          <w:iCs/>
        </w:rPr>
        <w:t>British Television Drama in the 1980s</w:t>
      </w:r>
      <w:r w:rsidRPr="003D365F">
        <w:t>.</w:t>
      </w:r>
      <w:proofErr w:type="gramEnd"/>
      <w:r w:rsidRPr="003D365F">
        <w:t xml:space="preserve"> Cambridge: </w:t>
      </w:r>
      <w:smartTag w:uri="urn:schemas-microsoft-com:office:smarttags" w:element="place">
        <w:r w:rsidRPr="003D365F">
          <w:t>Cambridge</w:t>
        </w:r>
      </w:smartTag>
      <w:r w:rsidRPr="003D365F">
        <w:t xml:space="preserve"> U P, 1993. </w:t>
      </w:r>
    </w:p>
    <w:p w:rsidR="00C22220" w:rsidRPr="003D365F" w:rsidRDefault="00C22220" w:rsidP="003D365F">
      <w:pPr>
        <w:pStyle w:val="bibeng"/>
      </w:pPr>
      <w:proofErr w:type="spellStart"/>
      <w:r w:rsidRPr="003D365F">
        <w:t>Caughie</w:t>
      </w:r>
      <w:proofErr w:type="spellEnd"/>
      <w:r w:rsidRPr="003D365F">
        <w:t>, John. "Introduction:</w:t>
      </w:r>
      <w:r w:rsidRPr="003D365F">
        <w:rPr>
          <w:rtl/>
        </w:rPr>
        <w:t xml:space="preserve"> </w:t>
      </w:r>
      <w:r w:rsidRPr="003D365F">
        <w:t>Serious Drama," </w:t>
      </w:r>
      <w:r w:rsidRPr="003D365F">
        <w:rPr>
          <w:i/>
          <w:iCs/>
        </w:rPr>
        <w:t>Television Drama: Realism, Modernism and British Culture</w:t>
      </w:r>
      <w:r w:rsidRPr="003D365F">
        <w:t xml:space="preserve">. Oxford and New York: Oxford U P, 2000. </w:t>
      </w:r>
      <w:proofErr w:type="gramStart"/>
      <w:r w:rsidRPr="003D365F">
        <w:t>1-24.</w:t>
      </w:r>
      <w:proofErr w:type="gramEnd"/>
      <w:r w:rsidRPr="003D365F">
        <w:t xml:space="preserve"> </w:t>
      </w:r>
    </w:p>
    <w:p w:rsidR="00C22220" w:rsidRPr="003D365F" w:rsidRDefault="00C22220" w:rsidP="003D365F">
      <w:pPr>
        <w:pStyle w:val="bibeng"/>
        <w:rPr>
          <w:rtl/>
        </w:rPr>
      </w:pPr>
      <w:proofErr w:type="spellStart"/>
      <w:r w:rsidRPr="003D365F">
        <w:t>Feuer</w:t>
      </w:r>
      <w:proofErr w:type="spellEnd"/>
      <w:r w:rsidRPr="003D365F">
        <w:t xml:space="preserve">, Jane. </w:t>
      </w:r>
      <w:proofErr w:type="gramStart"/>
      <w:r w:rsidRPr="003D365F">
        <w:t xml:space="preserve">"The MTM Style," </w:t>
      </w:r>
      <w:r w:rsidRPr="003D365F">
        <w:rPr>
          <w:i/>
          <w:iCs/>
        </w:rPr>
        <w:t>MTM.</w:t>
      </w:r>
      <w:proofErr w:type="gramEnd"/>
      <w:r w:rsidRPr="003D365F">
        <w:rPr>
          <w:i/>
          <w:iCs/>
        </w:rPr>
        <w:t xml:space="preserve"> </w:t>
      </w:r>
      <w:proofErr w:type="gramStart"/>
      <w:r w:rsidRPr="003D365F">
        <w:rPr>
          <w:i/>
          <w:iCs/>
        </w:rPr>
        <w:t>Quality Television</w:t>
      </w:r>
      <w:r w:rsidRPr="003D365F">
        <w:t>.</w:t>
      </w:r>
      <w:proofErr w:type="gramEnd"/>
      <w:r w:rsidRPr="003D365F">
        <w:t xml:space="preserve"> London: British Film Institute, 1984. </w:t>
      </w:r>
      <w:proofErr w:type="gramStart"/>
      <w:r w:rsidRPr="003D365F">
        <w:t>32-59.</w:t>
      </w:r>
      <w:proofErr w:type="gramEnd"/>
      <w:r w:rsidRPr="003D365F">
        <w:t xml:space="preserve"> </w:t>
      </w:r>
    </w:p>
    <w:p w:rsidR="00C22220" w:rsidRPr="003D365F" w:rsidRDefault="00C22220" w:rsidP="003D365F">
      <w:pPr>
        <w:pStyle w:val="bibeng"/>
      </w:pPr>
      <w:proofErr w:type="spellStart"/>
      <w:r w:rsidRPr="003D365F">
        <w:t>Geraghty</w:t>
      </w:r>
      <w:proofErr w:type="spellEnd"/>
      <w:r w:rsidRPr="003D365F">
        <w:t xml:space="preserve">, Christine. "Aesthetics and Quality in Popular Television Drama," </w:t>
      </w:r>
      <w:r w:rsidRPr="003D365F">
        <w:rPr>
          <w:i/>
          <w:iCs/>
        </w:rPr>
        <w:t xml:space="preserve">International Journal of Cultural Studies </w:t>
      </w:r>
      <w:r w:rsidRPr="003D365F">
        <w:t xml:space="preserve">6.1 (2003): 25-45. </w:t>
      </w:r>
    </w:p>
    <w:p w:rsidR="00C22220" w:rsidRPr="003D365F" w:rsidRDefault="00C22220" w:rsidP="003D365F">
      <w:pPr>
        <w:pStyle w:val="bibeng"/>
        <w:rPr>
          <w:rtl/>
        </w:rPr>
      </w:pPr>
      <w:proofErr w:type="gramStart"/>
      <w:r w:rsidRPr="003D365F">
        <w:t>Leverette ,Marc</w:t>
      </w:r>
      <w:proofErr w:type="gramEnd"/>
      <w:r w:rsidRPr="003D365F">
        <w:t xml:space="preserve">, Brian L. </w:t>
      </w:r>
      <w:proofErr w:type="spellStart"/>
      <w:r w:rsidRPr="003D365F">
        <w:t>Ott</w:t>
      </w:r>
      <w:proofErr w:type="spellEnd"/>
      <w:r w:rsidRPr="003D365F">
        <w:t xml:space="preserve"> and Cara Louise Buckley (Eds.).</w:t>
      </w:r>
      <w:r w:rsidRPr="003D365F">
        <w:rPr>
          <w:i/>
          <w:iCs/>
        </w:rPr>
        <w:t>It's Not TV: Watching HBO in the Post-Television Era.</w:t>
      </w:r>
      <w:r w:rsidRPr="003D365F">
        <w:t xml:space="preserve"> New York and London: Routledge, 2008.</w:t>
      </w:r>
    </w:p>
    <w:p w:rsidR="00C22220" w:rsidRPr="003D365F" w:rsidRDefault="00C22220" w:rsidP="003D365F">
      <w:pPr>
        <w:pStyle w:val="bibeng"/>
        <w:rPr>
          <w:rtl/>
        </w:rPr>
      </w:pPr>
      <w:proofErr w:type="spellStart"/>
      <w:r w:rsidRPr="003D365F">
        <w:t>Mittell</w:t>
      </w:r>
      <w:proofErr w:type="spellEnd"/>
      <w:r w:rsidRPr="003D365F">
        <w:t>, Jason. “Serial Melodrama,” </w:t>
      </w:r>
      <w:r w:rsidRPr="003D365F">
        <w:rPr>
          <w:i/>
          <w:iCs/>
        </w:rPr>
        <w:t>Complex TV: The Poetics of Contemporary Television Storytelling</w:t>
      </w:r>
      <w:r w:rsidRPr="003D365F">
        <w:t xml:space="preserve">. NYU Press, 2015, 233-260. </w:t>
      </w:r>
    </w:p>
    <w:p w:rsidR="00C22220" w:rsidRPr="003D365F" w:rsidRDefault="00C22220" w:rsidP="003D365F">
      <w:pPr>
        <w:pStyle w:val="bibeng"/>
      </w:pPr>
      <w:r w:rsidRPr="003D365F">
        <w:t>Nelson, Robin. "</w:t>
      </w:r>
      <w:proofErr w:type="spellStart"/>
      <w:r w:rsidRPr="003D365F">
        <w:t>Analysing</w:t>
      </w:r>
      <w:proofErr w:type="spellEnd"/>
      <w:r w:rsidRPr="003D365F">
        <w:t xml:space="preserve"> TV Fiction: How to Study Television Drama,"</w:t>
      </w:r>
      <w:r w:rsidRPr="003D365F">
        <w:rPr>
          <w:i/>
          <w:iCs/>
        </w:rPr>
        <w:t xml:space="preserve"> Tele-Vision: An Introduction to Studying Television</w:t>
      </w:r>
      <w:r w:rsidRPr="003D365F">
        <w:t xml:space="preserve">. </w:t>
      </w:r>
      <w:proofErr w:type="gramStart"/>
      <w:r w:rsidRPr="003D365F">
        <w:t xml:space="preserve">Ed. Glen </w:t>
      </w:r>
      <w:proofErr w:type="spellStart"/>
      <w:r w:rsidRPr="003D365F">
        <w:t>Creeber</w:t>
      </w:r>
      <w:proofErr w:type="spellEnd"/>
      <w:r w:rsidRPr="003D365F">
        <w:t>.</w:t>
      </w:r>
      <w:proofErr w:type="gramEnd"/>
      <w:r w:rsidRPr="003D365F">
        <w:t xml:space="preserve"> London: BFI, 2006. </w:t>
      </w:r>
      <w:proofErr w:type="gramStart"/>
      <w:r w:rsidRPr="003D365F">
        <w:t>74-92.</w:t>
      </w:r>
      <w:proofErr w:type="gramEnd"/>
    </w:p>
    <w:p w:rsidR="00C22220" w:rsidRPr="003D365F" w:rsidRDefault="00C22220" w:rsidP="003D365F">
      <w:pPr>
        <w:pStyle w:val="bibeng"/>
      </w:pPr>
      <w:r w:rsidRPr="003D365F">
        <w:t xml:space="preserve">Nelson, Robin. </w:t>
      </w:r>
      <w:r w:rsidRPr="003D365F">
        <w:rPr>
          <w:i/>
          <w:iCs/>
        </w:rPr>
        <w:t xml:space="preserve">State of </w:t>
      </w:r>
      <w:smartTag w:uri="urn:schemas-microsoft-com:office:smarttags" w:element="place">
        <w:r w:rsidRPr="003D365F">
          <w:rPr>
            <w:i/>
            <w:iCs/>
          </w:rPr>
          <w:t>Play</w:t>
        </w:r>
      </w:smartTag>
      <w:r w:rsidRPr="003D365F">
        <w:rPr>
          <w:i/>
          <w:iCs/>
        </w:rPr>
        <w:t>: Contemporary 'High-End' TV Drama</w:t>
      </w:r>
      <w:r w:rsidRPr="003D365F">
        <w:t xml:space="preserve">. Manchester: </w:t>
      </w:r>
      <w:smartTag w:uri="urn:schemas-microsoft-com:office:smarttags" w:element="place">
        <w:r w:rsidRPr="003D365F">
          <w:t>Manchester</w:t>
        </w:r>
      </w:smartTag>
      <w:r w:rsidRPr="003D365F">
        <w:t xml:space="preserve"> U P, 2007. </w:t>
      </w:r>
    </w:p>
    <w:p w:rsidR="00C22220" w:rsidRPr="003D365F" w:rsidRDefault="00C22220" w:rsidP="003D365F">
      <w:pPr>
        <w:pStyle w:val="bibeng"/>
      </w:pPr>
      <w:r w:rsidRPr="003D365F">
        <w:t xml:space="preserve">Nelson, Robin. TV Drama in Transition: Forms, Values and Cultural Change. New York: Macmillan P, 1997. </w:t>
      </w:r>
    </w:p>
    <w:p w:rsidR="00C22220" w:rsidRPr="003D365F" w:rsidRDefault="00C22220" w:rsidP="003D365F">
      <w:pPr>
        <w:pStyle w:val="bibeng"/>
        <w:rPr>
          <w:lang w:val="en"/>
        </w:rPr>
      </w:pPr>
      <w:r w:rsidRPr="003D365F">
        <w:rPr>
          <w:lang w:val="en"/>
        </w:rPr>
        <w:t xml:space="preserve">Paterson, Richard. </w:t>
      </w:r>
      <w:proofErr w:type="gramStart"/>
      <w:r w:rsidRPr="003D365F">
        <w:rPr>
          <w:lang w:val="en"/>
        </w:rPr>
        <w:t>"Drama and Entertainment."</w:t>
      </w:r>
      <w:proofErr w:type="gramEnd"/>
      <w:r w:rsidRPr="003D365F">
        <w:rPr>
          <w:lang w:val="en"/>
        </w:rPr>
        <w:t xml:space="preserve"> </w:t>
      </w:r>
      <w:r w:rsidRPr="003D365F">
        <w:rPr>
          <w:i/>
          <w:iCs/>
          <w:lang w:val="en"/>
        </w:rPr>
        <w:t>Television: An International History</w:t>
      </w:r>
      <w:r w:rsidRPr="003D365F">
        <w:rPr>
          <w:lang w:val="en"/>
        </w:rPr>
        <w:t xml:space="preserve">. </w:t>
      </w:r>
      <w:proofErr w:type="gramStart"/>
      <w:r w:rsidRPr="003D365F">
        <w:rPr>
          <w:lang w:val="en"/>
        </w:rPr>
        <w:t>2nd ed. Ed. Anthony Smith.</w:t>
      </w:r>
      <w:proofErr w:type="gramEnd"/>
      <w:r w:rsidRPr="003D365F">
        <w:rPr>
          <w:lang w:val="en"/>
        </w:rPr>
        <w:t xml:space="preserve"> Oxford: </w:t>
      </w:r>
      <w:smartTag w:uri="urn:schemas-microsoft-com:office:smarttags" w:element="place">
        <w:r w:rsidRPr="003D365F">
          <w:rPr>
            <w:lang w:val="en"/>
          </w:rPr>
          <w:t>Oxford</w:t>
        </w:r>
      </w:smartTag>
      <w:r w:rsidRPr="003D365F">
        <w:rPr>
          <w:lang w:val="en"/>
        </w:rPr>
        <w:t xml:space="preserve"> UP, 1998. </w:t>
      </w:r>
      <w:proofErr w:type="gramStart"/>
      <w:r w:rsidRPr="003D365F">
        <w:rPr>
          <w:lang w:val="en"/>
        </w:rPr>
        <w:t>57-68.</w:t>
      </w:r>
      <w:proofErr w:type="gramEnd"/>
    </w:p>
    <w:p w:rsidR="00C22220" w:rsidRPr="003D365F" w:rsidRDefault="00C22220" w:rsidP="003D365F">
      <w:pPr>
        <w:pStyle w:val="bibeng"/>
      </w:pPr>
      <w:r w:rsidRPr="003D365F">
        <w:t xml:space="preserve">Thompson, Robert J. Television’s Second Golden Age: From Hill Street Blues to ER. New York: </w:t>
      </w:r>
      <w:smartTag w:uri="urn:schemas-microsoft-com:office:smarttags" w:element="place">
        <w:r w:rsidRPr="003D365F">
          <w:t>Syracuse</w:t>
        </w:r>
      </w:smartTag>
      <w:r w:rsidRPr="003D365F">
        <w:t xml:space="preserve"> U P, 1996.</w:t>
      </w:r>
    </w:p>
    <w:p w:rsidR="00C22220" w:rsidRPr="003D365F" w:rsidRDefault="00C22220" w:rsidP="003D365F">
      <w:pPr>
        <w:pStyle w:val="Heading3"/>
        <w:rPr>
          <w:rtl/>
        </w:rPr>
      </w:pPr>
      <w:r w:rsidRPr="003D365F">
        <w:rPr>
          <w:rtl/>
        </w:rPr>
        <w:t>ההיסטוריה של הדרמה הישראלית</w:t>
      </w:r>
    </w:p>
    <w:p w:rsidR="00C22220" w:rsidRPr="003D365F" w:rsidRDefault="00C22220" w:rsidP="003D365F">
      <w:pPr>
        <w:pStyle w:val="a1"/>
        <w:rPr>
          <w:rtl/>
        </w:rPr>
      </w:pPr>
      <w:r w:rsidRPr="003D365F">
        <w:rPr>
          <w:rtl/>
        </w:rPr>
        <w:t>אדוני, חנה והלל נוסק. " 'אני', 'ישראלי' ו'אזרח העולם': הטלוויזיה בכבלים והשלכותיה על קשרים חברתיים" ,</w:t>
      </w:r>
      <w:r w:rsidRPr="003D365F">
        <w:rPr>
          <w:b/>
          <w:bCs/>
          <w:rtl/>
        </w:rPr>
        <w:t>תקשורת ודמוקרטיה בישראל</w:t>
      </w:r>
      <w:r w:rsidRPr="003D365F">
        <w:rPr>
          <w:rtl/>
        </w:rPr>
        <w:t>. עורך: דן כספי. ירושלים: הקיבוץ המאוחד, 1997. 115-97.</w:t>
      </w:r>
    </w:p>
    <w:p w:rsidR="00C22220" w:rsidRPr="003D365F" w:rsidRDefault="00C22220" w:rsidP="003D365F">
      <w:pPr>
        <w:pStyle w:val="a1"/>
        <w:rPr>
          <w:rStyle w:val="exlresultdetails"/>
          <w:rtl/>
        </w:rPr>
      </w:pPr>
      <w:r w:rsidRPr="003D365F">
        <w:rPr>
          <w:rtl/>
        </w:rPr>
        <w:t>בן צבי, יעל. "מרכז ופריפריה בקולנוע הישראלי של שנות התשעים</w:t>
      </w:r>
      <w:r w:rsidRPr="003D365F">
        <w:t>"</w:t>
      </w:r>
      <w:r w:rsidRPr="003D365F">
        <w:rPr>
          <w:rtl/>
        </w:rPr>
        <w:t>,</w:t>
      </w:r>
      <w:r w:rsidRPr="003D365F">
        <w:rPr>
          <w:rStyle w:val="exlresultdetails"/>
          <w:b/>
          <w:bCs/>
          <w:rtl/>
        </w:rPr>
        <w:t xml:space="preserve">אלפיים: כתב-עת בינתחומי לעיון, הגות וספרות </w:t>
      </w:r>
      <w:r w:rsidRPr="003D365F">
        <w:rPr>
          <w:rStyle w:val="exlresultdetails"/>
          <w:rtl/>
        </w:rPr>
        <w:t>30 (2006): 256-248.</w:t>
      </w:r>
    </w:p>
    <w:p w:rsidR="00C22220" w:rsidRPr="003D365F" w:rsidRDefault="00C22220" w:rsidP="003D365F">
      <w:pPr>
        <w:pStyle w:val="a1"/>
      </w:pPr>
      <w:r w:rsidRPr="003D365F">
        <w:rPr>
          <w:rtl/>
        </w:rPr>
        <w:t xml:space="preserve">גיל, צבי. </w:t>
      </w:r>
      <w:r w:rsidRPr="003D365F">
        <w:rPr>
          <w:b/>
          <w:bCs/>
          <w:rtl/>
        </w:rPr>
        <w:t>בית היהלומים: סיפור הטלוויזיה הישראלית</w:t>
      </w:r>
      <w:r w:rsidRPr="003D365F">
        <w:rPr>
          <w:rtl/>
        </w:rPr>
        <w:t xml:space="preserve">. תל אביב: ספריית הפועלים, 1986. </w:t>
      </w:r>
    </w:p>
    <w:p w:rsidR="00C22220" w:rsidRPr="003D365F" w:rsidRDefault="00C22220" w:rsidP="003D365F">
      <w:pPr>
        <w:pStyle w:val="a1"/>
        <w:rPr>
          <w:rtl/>
        </w:rPr>
      </w:pPr>
      <w:r w:rsidRPr="003D365F">
        <w:rPr>
          <w:rtl/>
        </w:rPr>
        <w:t xml:space="preserve">גרמי, בשמת. ציונות על המסך הקטן: השוואת סדרות תיעודיות-היסטוריות בטלוויזיה הישראלית. עבודה לקראת תואר שלישי, אוניברסיטת תל-אביב, 2009. </w:t>
      </w:r>
    </w:p>
    <w:p w:rsidR="00C22220" w:rsidRPr="003D365F" w:rsidRDefault="00C22220" w:rsidP="003D365F">
      <w:pPr>
        <w:pStyle w:val="a1"/>
      </w:pPr>
      <w:r w:rsidRPr="003D365F">
        <w:rPr>
          <w:rtl/>
        </w:rPr>
        <w:t xml:space="preserve">וינקלר, דנה. "עושים טלוויזיה ישראלית - דיונים לקראת כינון טלוויזיה בישראל, 1948-1968", </w:t>
      </w:r>
      <w:r w:rsidRPr="003D365F">
        <w:rPr>
          <w:b/>
          <w:bCs/>
          <w:rtl/>
        </w:rPr>
        <w:t>קשר</w:t>
      </w:r>
      <w:r w:rsidRPr="003D365F">
        <w:rPr>
          <w:rtl/>
        </w:rPr>
        <w:t xml:space="preserve"> 34 (2006): 141-130.</w:t>
      </w:r>
    </w:p>
    <w:p w:rsidR="00C22220" w:rsidRPr="003D365F" w:rsidRDefault="00C22220" w:rsidP="003D365F">
      <w:pPr>
        <w:pStyle w:val="a1"/>
        <w:rPr>
          <w:rtl/>
        </w:rPr>
      </w:pPr>
      <w:r w:rsidRPr="003D365F">
        <w:rPr>
          <w:rtl/>
        </w:rPr>
        <w:t>טלמון, מירי ותמר תמר. "אומרים ישנה ארץ: מקום וזהות בסדרות הטלוויזיה פלורנטין, ובת-ים ניו-יורק," </w:t>
      </w:r>
      <w:r w:rsidRPr="003D365F">
        <w:rPr>
          <w:b/>
          <w:bCs/>
          <w:rtl/>
        </w:rPr>
        <w:t>קשר</w:t>
      </w:r>
      <w:r w:rsidRPr="003D365F">
        <w:rPr>
          <w:rtl/>
        </w:rPr>
        <w:t> 27 (2000): 48-41.</w:t>
      </w:r>
    </w:p>
    <w:p w:rsidR="00C22220" w:rsidRPr="003D365F" w:rsidRDefault="00C22220" w:rsidP="003D365F">
      <w:pPr>
        <w:pStyle w:val="a1"/>
        <w:rPr>
          <w:rtl/>
        </w:rPr>
      </w:pPr>
      <w:r w:rsidRPr="003D365F">
        <w:rPr>
          <w:rtl/>
        </w:rPr>
        <w:t xml:space="preserve">יורן, נועם. </w:t>
      </w:r>
      <w:r w:rsidRPr="003D365F">
        <w:rPr>
          <w:b/>
          <w:bCs/>
          <w:rtl/>
        </w:rPr>
        <w:t>ערוץ 2: הממלכתיות החדשה</w:t>
      </w:r>
      <w:r w:rsidRPr="003D365F">
        <w:rPr>
          <w:rtl/>
        </w:rPr>
        <w:t xml:space="preserve">. רסלינג: תל אביב, 2001. </w:t>
      </w:r>
    </w:p>
    <w:p w:rsidR="00C22220" w:rsidRPr="003D365F" w:rsidRDefault="00C22220" w:rsidP="003D365F">
      <w:pPr>
        <w:pStyle w:val="a1"/>
        <w:rPr>
          <w:rtl/>
        </w:rPr>
      </w:pPr>
      <w:r w:rsidRPr="003D365F">
        <w:rPr>
          <w:rtl/>
        </w:rPr>
        <w:lastRenderedPageBreak/>
        <w:t xml:space="preserve">כ"ץ, אליהוא והדסה האז. "עשרים שנות טלוויזיה בישראל: האם יש להם השפעות ארוכות טווח", </w:t>
      </w:r>
      <w:r w:rsidRPr="003D365F">
        <w:rPr>
          <w:b/>
          <w:bCs/>
          <w:rtl/>
        </w:rPr>
        <w:t>זמנים</w:t>
      </w:r>
      <w:r w:rsidRPr="003D365F">
        <w:rPr>
          <w:rtl/>
        </w:rPr>
        <w:t xml:space="preserve"> 52 (1995): 91-80.</w:t>
      </w:r>
    </w:p>
    <w:p w:rsidR="00C22220" w:rsidRPr="003D365F" w:rsidRDefault="00C22220" w:rsidP="003D365F">
      <w:pPr>
        <w:pStyle w:val="a1"/>
        <w:rPr>
          <w:rtl/>
        </w:rPr>
      </w:pPr>
      <w:r w:rsidRPr="003D365F">
        <w:rPr>
          <w:rtl/>
        </w:rPr>
        <w:t xml:space="preserve">כהן, איילת. "בין 'אנחנו' לבין 'כולם': ייצוג לכאורה של חברה רב-תרבותית בתקשורת: הדוגמא של </w:t>
      </w:r>
      <w:r w:rsidRPr="003D365F">
        <w:rPr>
          <w:u w:val="single"/>
          <w:rtl/>
        </w:rPr>
        <w:t>זינזאנה</w:t>
      </w:r>
      <w:r w:rsidRPr="003D365F">
        <w:rPr>
          <w:rtl/>
        </w:rPr>
        <w:t xml:space="preserve">", </w:t>
      </w:r>
      <w:r w:rsidRPr="003D365F">
        <w:rPr>
          <w:b/>
          <w:bCs/>
          <w:rtl/>
        </w:rPr>
        <w:t>קשר</w:t>
      </w:r>
      <w:r w:rsidRPr="003D365F">
        <w:rPr>
          <w:rtl/>
        </w:rPr>
        <w:t xml:space="preserve"> 30 (2001): 50-42.</w:t>
      </w:r>
    </w:p>
    <w:p w:rsidR="00C22220" w:rsidRPr="003D365F" w:rsidRDefault="00C22220" w:rsidP="003D365F">
      <w:pPr>
        <w:pStyle w:val="a1"/>
        <w:rPr>
          <w:rtl/>
        </w:rPr>
      </w:pPr>
      <w:r w:rsidRPr="003D365F">
        <w:rPr>
          <w:rtl/>
        </w:rPr>
        <w:t>לביא, נועה. אמנות בע"מ: סיפורה של סדרת הדרמה הטלוויזיונית בישראל. תל אביב: רסלינג. טרם פורסם.</w:t>
      </w:r>
    </w:p>
    <w:p w:rsidR="00C22220" w:rsidRPr="003D365F" w:rsidRDefault="00C22220" w:rsidP="003D365F">
      <w:pPr>
        <w:pStyle w:val="a1"/>
        <w:rPr>
          <w:rtl/>
        </w:rPr>
      </w:pPr>
      <w:r w:rsidRPr="003D365F">
        <w:rPr>
          <w:rtl/>
        </w:rPr>
        <w:t xml:space="preserve">לביא-פלינט, אורנה. </w:t>
      </w:r>
      <w:r w:rsidRPr="003D365F">
        <w:rPr>
          <w:rStyle w:val="Hyperlink"/>
          <w:rFonts w:eastAsia="Arial Unicode MS"/>
          <w:b/>
          <w:bCs/>
          <w:rtl/>
        </w:rPr>
        <w:t>הבלדה על חדוה ושלומיק: ניהיליזם ומלנכוליה בסדרת טלוויזיה פופולארית</w:t>
      </w:r>
      <w:r w:rsidRPr="003D365F">
        <w:rPr>
          <w:rStyle w:val="Hyperlink"/>
          <w:rFonts w:eastAsia="Arial Unicode MS"/>
          <w:rtl/>
        </w:rPr>
        <w:t xml:space="preserve">. </w:t>
      </w:r>
      <w:r w:rsidRPr="003D365F">
        <w:rPr>
          <w:rtl/>
        </w:rPr>
        <w:t xml:space="preserve">חיבור לשם קבלת התואר "מוסמך", אוניברסיטת תל אביב, 2008. </w:t>
      </w:r>
    </w:p>
    <w:p w:rsidR="00C22220" w:rsidRPr="003D365F" w:rsidRDefault="00C22220" w:rsidP="003D365F">
      <w:pPr>
        <w:pStyle w:val="a1"/>
        <w:rPr>
          <w:rtl/>
        </w:rPr>
      </w:pPr>
      <w:r w:rsidRPr="003D365F">
        <w:rPr>
          <w:rtl/>
        </w:rPr>
        <w:t xml:space="preserve">לחמן-מסר, דוידה. "מפת התקשורת החדשה בישראל: תיאורו של תהליך, מאפיינים ותהיות", </w:t>
      </w:r>
      <w:r w:rsidRPr="003D365F">
        <w:rPr>
          <w:rStyle w:val="exlresultdetails"/>
          <w:b/>
          <w:bCs/>
          <w:rtl/>
        </w:rPr>
        <w:t>דברים אחדים: כתב-עת לעניני תקשורת, תרבות וחברה</w:t>
      </w:r>
      <w:r w:rsidRPr="003D365F">
        <w:rPr>
          <w:rStyle w:val="exlresultdetails"/>
          <w:rtl/>
        </w:rPr>
        <w:t xml:space="preserve"> 1 (1997): 87-66.</w:t>
      </w:r>
    </w:p>
    <w:p w:rsidR="00C22220" w:rsidRPr="003D365F" w:rsidRDefault="00C22220" w:rsidP="003D365F">
      <w:pPr>
        <w:pStyle w:val="a1"/>
        <w:rPr>
          <w:i/>
          <w:iCs/>
        </w:rPr>
      </w:pPr>
      <w:r w:rsidRPr="003D365F">
        <w:rPr>
          <w:rtl/>
        </w:rPr>
        <w:t xml:space="preserve">ליבס, תמר. "מבנה השידור כמבנה החברה – מעיצוב תרבות למלחמת תרבות", </w:t>
      </w:r>
      <w:r w:rsidRPr="003D365F">
        <w:rPr>
          <w:b/>
          <w:bCs/>
          <w:rtl/>
        </w:rPr>
        <w:t xml:space="preserve">קשר </w:t>
      </w:r>
      <w:r w:rsidRPr="003D365F">
        <w:rPr>
          <w:rtl/>
        </w:rPr>
        <w:t xml:space="preserve">25 (1999): </w:t>
      </w:r>
      <w:r w:rsidRPr="003D365F">
        <w:rPr>
          <w:i/>
          <w:iCs/>
          <w:rtl/>
        </w:rPr>
        <w:t>97-88.</w:t>
      </w:r>
    </w:p>
    <w:p w:rsidR="00C22220" w:rsidRPr="003D365F" w:rsidRDefault="00C22220" w:rsidP="003D365F">
      <w:pPr>
        <w:pStyle w:val="bibeng"/>
      </w:pPr>
      <w:proofErr w:type="spellStart"/>
      <w:r w:rsidRPr="003D365F">
        <w:t>Hilmes</w:t>
      </w:r>
      <w:proofErr w:type="spellEnd"/>
      <w:r w:rsidRPr="003D365F">
        <w:t xml:space="preserve">, Michele. (Ed.) </w:t>
      </w:r>
      <w:proofErr w:type="gramStart"/>
      <w:r w:rsidRPr="003D365F">
        <w:rPr>
          <w:i/>
          <w:iCs/>
        </w:rPr>
        <w:t>The Television History Book</w:t>
      </w:r>
      <w:r w:rsidRPr="003D365F">
        <w:t>.</w:t>
      </w:r>
      <w:proofErr w:type="gramEnd"/>
      <w:r w:rsidRPr="003D365F">
        <w:t xml:space="preserve"> London: BFI, 2011.</w:t>
      </w:r>
    </w:p>
    <w:p w:rsidR="00C22220" w:rsidRPr="003D365F" w:rsidRDefault="00C22220" w:rsidP="003D365F">
      <w:pPr>
        <w:pStyle w:val="bibeng"/>
      </w:pPr>
      <w:r w:rsidRPr="003D365F">
        <w:t>Oren, Tasha G. Demon in the Box: Jews, Arabs, Politics, and Culture in the Making of Israeli Television. New Brunswick: Rutgers U P, 2004.</w:t>
      </w:r>
    </w:p>
    <w:p w:rsidR="00C22220" w:rsidRPr="003D365F" w:rsidRDefault="00C22220" w:rsidP="003D365F">
      <w:pPr>
        <w:pStyle w:val="bibeng"/>
        <w:rPr>
          <w:rtl/>
        </w:rPr>
      </w:pPr>
      <w:r w:rsidRPr="003D365F">
        <w:t>Wheatley, Helen.</w:t>
      </w:r>
      <w:r w:rsidRPr="003D365F">
        <w:rPr>
          <w:rStyle w:val="apple-converted-space"/>
          <w:rFonts w:ascii="David" w:hAnsi="David" w:cs="David"/>
          <w:color w:val="000000"/>
          <w:sz w:val="18"/>
          <w:szCs w:val="18"/>
        </w:rPr>
        <w:t> </w:t>
      </w:r>
      <w:proofErr w:type="gramStart"/>
      <w:r w:rsidRPr="003D365F">
        <w:t>Re-Viewing Television History: Critical Issues in Television History.</w:t>
      </w:r>
      <w:proofErr w:type="gramEnd"/>
      <w:r w:rsidRPr="003D365F">
        <w:t xml:space="preserve"> </w:t>
      </w:r>
      <w:proofErr w:type="gramStart"/>
      <w:r w:rsidRPr="003D365F">
        <w:t>IB Tauris, 2007.</w:t>
      </w:r>
      <w:proofErr w:type="gramEnd"/>
    </w:p>
    <w:p w:rsidR="00C22220" w:rsidRPr="003D365F" w:rsidRDefault="00C22220" w:rsidP="003D365F">
      <w:pPr>
        <w:pStyle w:val="Heading3"/>
        <w:rPr>
          <w:rtl/>
        </w:rPr>
      </w:pPr>
      <w:r w:rsidRPr="003D365F">
        <w:rPr>
          <w:rtl/>
        </w:rPr>
        <w:t>טראומה, קורבנות והתרבות הישראלית</w:t>
      </w:r>
    </w:p>
    <w:p w:rsidR="00C22220" w:rsidRPr="003D365F" w:rsidRDefault="00C22220" w:rsidP="003D365F">
      <w:pPr>
        <w:pStyle w:val="a1"/>
        <w:rPr>
          <w:rtl/>
        </w:rPr>
      </w:pPr>
      <w:r w:rsidRPr="003D365F">
        <w:rPr>
          <w:rtl/>
        </w:rPr>
        <w:t xml:space="preserve">אוחנה, דוד. </w:t>
      </w:r>
      <w:r w:rsidRPr="003D365F">
        <w:rPr>
          <w:b/>
          <w:bCs/>
          <w:rtl/>
        </w:rPr>
        <w:t>הישראלים האחרונים</w:t>
      </w:r>
      <w:r w:rsidRPr="003D365F">
        <w:rPr>
          <w:rtl/>
        </w:rPr>
        <w:t xml:space="preserve">. תל אביב: הוצאת הקיבוץ המאוחד, 1998. </w:t>
      </w:r>
    </w:p>
    <w:p w:rsidR="00C22220" w:rsidRPr="003D365F" w:rsidRDefault="00C22220" w:rsidP="003D365F">
      <w:pPr>
        <w:pStyle w:val="a1"/>
      </w:pPr>
      <w:r w:rsidRPr="003D365F">
        <w:rPr>
          <w:rtl/>
        </w:rPr>
        <w:t xml:space="preserve">אלזסר, תומס. "הפואטיקה והפוליטיקה של הפרפרקסיס', בתוך: סנדרה מאירי, יעל מונק, עדיה מנדלסון-מעוס וליאת שטיינר-לבני (עורכות), </w:t>
      </w:r>
      <w:r w:rsidRPr="003D365F">
        <w:rPr>
          <w:b/>
          <w:bCs/>
          <w:rtl/>
        </w:rPr>
        <w:t>זהויות בהתהוות בתרבות הישראלית: ספר היובל לכבוד נורית גרץ</w:t>
      </w:r>
      <w:r w:rsidRPr="003D365F">
        <w:rPr>
          <w:rtl/>
        </w:rPr>
        <w:t>, רעננה 2013 (להלן: אלזסר, הפואטיקה), עמ' 415-414.</w:t>
      </w:r>
    </w:p>
    <w:p w:rsidR="00C22220" w:rsidRPr="003D365F" w:rsidRDefault="00C22220" w:rsidP="003D365F">
      <w:pPr>
        <w:pStyle w:val="a1"/>
      </w:pPr>
      <w:r w:rsidRPr="003D365F">
        <w:rPr>
          <w:rtl/>
        </w:rPr>
        <w:t>אלססר, תומס ובועז חגין. </w:t>
      </w:r>
      <w:r w:rsidRPr="003D365F">
        <w:rPr>
          <w:b/>
          <w:bCs/>
          <w:rtl/>
        </w:rPr>
        <w:t>זיכרון, טראומה ופנטזיה בקולנוע האמריקני</w:t>
      </w:r>
      <w:r w:rsidRPr="003D365F">
        <w:rPr>
          <w:rtl/>
        </w:rPr>
        <w:t>. רעננה: האוניברסיטה הפתוחה, 2012.</w:t>
      </w:r>
    </w:p>
    <w:p w:rsidR="00C22220" w:rsidRPr="003D365F" w:rsidRDefault="00C22220" w:rsidP="003D365F">
      <w:pPr>
        <w:pStyle w:val="a1"/>
        <w:rPr>
          <w:rtl/>
        </w:rPr>
      </w:pPr>
      <w:r w:rsidRPr="003D365F">
        <w:rPr>
          <w:rtl/>
        </w:rPr>
        <w:t xml:space="preserve">גרץ, נורית וגל חרמוני, "בין לבנון לחרבת חזעה עובר שביל של בוץ: על טראומה, אתיקה ותקומה בקולנוע ובספרות הישראליים", </w:t>
      </w:r>
      <w:r w:rsidRPr="003D365F">
        <w:rPr>
          <w:b/>
          <w:bCs/>
          <w:rtl/>
        </w:rPr>
        <w:t>מכאן</w:t>
      </w:r>
      <w:r w:rsidRPr="003D365F">
        <w:rPr>
          <w:rtl/>
        </w:rPr>
        <w:t xml:space="preserve"> 13 (2013): 163-145. </w:t>
      </w:r>
    </w:p>
    <w:p w:rsidR="00C22220" w:rsidRPr="003D365F" w:rsidRDefault="00C22220" w:rsidP="003D365F">
      <w:pPr>
        <w:pStyle w:val="a1"/>
        <w:rPr>
          <w:rtl/>
        </w:rPr>
      </w:pPr>
      <w:r w:rsidRPr="003D365F">
        <w:rPr>
          <w:rtl/>
        </w:rPr>
        <w:t>דובדבני, שמוליק.</w:t>
      </w:r>
      <w:r w:rsidRPr="003D365F">
        <w:rPr>
          <w:b/>
          <w:bCs/>
          <w:rtl/>
        </w:rPr>
        <w:t xml:space="preserve"> </w:t>
      </w:r>
      <w:r w:rsidRPr="003D365F">
        <w:rPr>
          <w:rtl/>
        </w:rPr>
        <w:t xml:space="preserve">"כל עוד אתה מצייר ולא מצלם זה בסדר' – סוגיות של אשמה ואחריות בסרט </w:t>
      </w:r>
      <w:r w:rsidRPr="003D365F">
        <w:rPr>
          <w:b/>
          <w:bCs/>
          <w:rtl/>
        </w:rPr>
        <w:t>ואלס עם באשיר</w:t>
      </w:r>
      <w:r w:rsidRPr="003D365F">
        <w:rPr>
          <w:rtl/>
        </w:rPr>
        <w:t xml:space="preserve">", </w:t>
      </w:r>
      <w:r w:rsidRPr="003D365F">
        <w:rPr>
          <w:b/>
          <w:bCs/>
          <w:rtl/>
        </w:rPr>
        <w:t xml:space="preserve">מכאן </w:t>
      </w:r>
      <w:r w:rsidRPr="003D365F">
        <w:rPr>
          <w:rtl/>
        </w:rPr>
        <w:t xml:space="preserve">יג (2013): 67-50. </w:t>
      </w:r>
    </w:p>
    <w:p w:rsidR="00C22220" w:rsidRPr="003D365F" w:rsidRDefault="00C22220" w:rsidP="003D365F">
      <w:pPr>
        <w:pStyle w:val="a1"/>
        <w:rPr>
          <w:rtl/>
        </w:rPr>
      </w:pPr>
      <w:r w:rsidRPr="003D365F">
        <w:rPr>
          <w:rtl/>
        </w:rPr>
        <w:t xml:space="preserve">זיו, אפי. "טראומה עיקשת" </w:t>
      </w:r>
      <w:r w:rsidRPr="003D365F">
        <w:rPr>
          <w:b/>
          <w:bCs/>
          <w:rtl/>
        </w:rPr>
        <w:t>כנס הלקסיקון השישי</w:t>
      </w:r>
      <w:r w:rsidRPr="003D365F">
        <w:rPr>
          <w:rtl/>
        </w:rPr>
        <w:t>, אוניברסיטת תל אביב, ינואר 2011. &lt;</w:t>
      </w:r>
      <w:r w:rsidRPr="003D365F">
        <w:t>http://mhc.tau.ac.il/lexspace/?p=681</w:t>
      </w:r>
      <w:r w:rsidRPr="003D365F">
        <w:rPr>
          <w:rtl/>
        </w:rPr>
        <w:t>&gt;</w:t>
      </w:r>
    </w:p>
    <w:p w:rsidR="00C22220" w:rsidRPr="003D365F" w:rsidRDefault="00C22220" w:rsidP="003D365F">
      <w:pPr>
        <w:pStyle w:val="a1"/>
        <w:rPr>
          <w:rtl/>
        </w:rPr>
      </w:pPr>
      <w:r w:rsidRPr="003D365F">
        <w:rPr>
          <w:rtl/>
        </w:rPr>
        <w:t xml:space="preserve">יאיר, גד. צופן הישראליות: עשרת הדיברות של שנות האלפיים. ירושלים: כתר, 2001. </w:t>
      </w:r>
    </w:p>
    <w:p w:rsidR="00C22220" w:rsidRPr="003D365F" w:rsidRDefault="00C22220" w:rsidP="003D365F">
      <w:pPr>
        <w:pStyle w:val="a1"/>
        <w:rPr>
          <w:rtl/>
        </w:rPr>
      </w:pPr>
      <w:r w:rsidRPr="003D365F">
        <w:rPr>
          <w:rtl/>
        </w:rPr>
        <w:t xml:space="preserve">מורג, רעיה. "קול, דימוי וזיכרון הטרור: הקולנוע העלילתי בתקופת האינתיפאדה השנייה", </w:t>
      </w:r>
      <w:r w:rsidRPr="003D365F">
        <w:rPr>
          <w:b/>
          <w:bCs/>
          <w:rtl/>
        </w:rPr>
        <w:t>ישראל</w:t>
      </w:r>
      <w:r w:rsidRPr="003D365F">
        <w:rPr>
          <w:rtl/>
        </w:rPr>
        <w:t xml:space="preserve"> 14 (2008): 88-71.</w:t>
      </w:r>
    </w:p>
    <w:p w:rsidR="00C22220" w:rsidRPr="003D365F" w:rsidRDefault="00C22220" w:rsidP="003D365F">
      <w:pPr>
        <w:pStyle w:val="a1"/>
        <w:rPr>
          <w:rtl/>
        </w:rPr>
      </w:pPr>
      <w:r w:rsidRPr="003D365F">
        <w:rPr>
          <w:rtl/>
        </w:rPr>
        <w:t>שורק, תמיר. "מלכודת הקורבנוּת".</w:t>
      </w:r>
      <w:r w:rsidRPr="003D365F">
        <w:t>Zoom in</w:t>
      </w:r>
      <w:r w:rsidRPr="003D365F">
        <w:rPr>
          <w:rtl/>
        </w:rPr>
        <w:t>: פליטי 1948 בזיכרון.</w:t>
      </w:r>
      <w:r w:rsidRPr="003D365F">
        <w:rPr>
          <w:rStyle w:val="apple-style-span"/>
          <w:i/>
          <w:iCs/>
        </w:rPr>
        <w:t>The Institute for Historical Justice and Reconciliation Series</w:t>
      </w:r>
      <w:r w:rsidRPr="003D365F">
        <w:rPr>
          <w:rtl/>
        </w:rPr>
        <w:t>, 2011. 50-54.</w:t>
      </w:r>
    </w:p>
    <w:p w:rsidR="00C22220" w:rsidRPr="003D365F" w:rsidRDefault="00C22220" w:rsidP="003D365F">
      <w:pPr>
        <w:pStyle w:val="bibeng"/>
      </w:pPr>
      <w:proofErr w:type="gramStart"/>
      <w:r w:rsidRPr="003D365F">
        <w:rPr>
          <w:rStyle w:val="apple-style-span"/>
          <w:rFonts w:ascii="David" w:hAnsi="David" w:cs="David"/>
        </w:rPr>
        <w:t xml:space="preserve">Alexander, Jeffrey C. "Toward a Theory of Cultural Trauma," </w:t>
      </w:r>
      <w:r w:rsidRPr="003D365F">
        <w:rPr>
          <w:rStyle w:val="apple-style-span"/>
          <w:rFonts w:ascii="David" w:hAnsi="David" w:cs="David"/>
          <w:i/>
          <w:iCs/>
        </w:rPr>
        <w:t>Cultural Trauma and Collective Identity</w:t>
      </w:r>
      <w:r w:rsidRPr="003D365F">
        <w:rPr>
          <w:rStyle w:val="apple-style-span"/>
          <w:rFonts w:ascii="David" w:hAnsi="David" w:cs="David"/>
        </w:rPr>
        <w:t>.</w:t>
      </w:r>
      <w:proofErr w:type="gramEnd"/>
      <w:r w:rsidRPr="003D365F">
        <w:rPr>
          <w:rStyle w:val="apple-style-span"/>
          <w:rFonts w:ascii="David" w:hAnsi="David" w:cs="David"/>
        </w:rPr>
        <w:t xml:space="preserve"> Berkeley: U of California P, 2004.1-30.</w:t>
      </w:r>
    </w:p>
    <w:p w:rsidR="00C22220" w:rsidRPr="003D365F" w:rsidRDefault="00C22220" w:rsidP="003D365F">
      <w:pPr>
        <w:pStyle w:val="bibeng"/>
      </w:pPr>
      <w:proofErr w:type="spellStart"/>
      <w:r w:rsidRPr="003D365F">
        <w:t>Caruth</w:t>
      </w:r>
      <w:proofErr w:type="spellEnd"/>
      <w:r w:rsidRPr="003D365F">
        <w:t xml:space="preserve">, Cathy (Ed.). </w:t>
      </w:r>
      <w:r w:rsidRPr="003D365F">
        <w:rPr>
          <w:i/>
          <w:iCs/>
        </w:rPr>
        <w:t>Trauma: Explorations in Memory</w:t>
      </w:r>
      <w:r w:rsidRPr="003D365F">
        <w:t xml:space="preserve">. Baltimore: Johns Hopkins U P, 1995. </w:t>
      </w:r>
    </w:p>
    <w:p w:rsidR="00C22220" w:rsidRPr="003D365F" w:rsidRDefault="00C22220" w:rsidP="003D365F">
      <w:pPr>
        <w:pStyle w:val="bibeng"/>
      </w:pPr>
      <w:proofErr w:type="spellStart"/>
      <w:r w:rsidRPr="003D365F">
        <w:t>Caruth</w:t>
      </w:r>
      <w:proofErr w:type="spellEnd"/>
      <w:r w:rsidRPr="003D365F">
        <w:t xml:space="preserve">, Cathy. </w:t>
      </w:r>
      <w:r w:rsidRPr="003D365F">
        <w:rPr>
          <w:i/>
          <w:iCs/>
        </w:rPr>
        <w:t>Unclaimed Experience: Trauma, Narrative, and History</w:t>
      </w:r>
      <w:r w:rsidRPr="003D365F">
        <w:t>. Baltimore: Johns Hopkins U P, 1996.</w:t>
      </w:r>
    </w:p>
    <w:p w:rsidR="00C22220" w:rsidRPr="003D365F" w:rsidRDefault="00C22220" w:rsidP="003D365F">
      <w:pPr>
        <w:pStyle w:val="bibeng"/>
      </w:pPr>
      <w:proofErr w:type="spellStart"/>
      <w:proofErr w:type="gramStart"/>
      <w:r w:rsidRPr="003D365F">
        <w:rPr>
          <w:rStyle w:val="apple-style-span"/>
          <w:rFonts w:ascii="David" w:hAnsi="David" w:cs="David"/>
          <w:color w:val="31303D"/>
          <w:shd w:val="clear" w:color="auto" w:fill="FFFFFF"/>
        </w:rPr>
        <w:t>Fassin</w:t>
      </w:r>
      <w:proofErr w:type="spellEnd"/>
      <w:r w:rsidRPr="003D365F">
        <w:rPr>
          <w:rStyle w:val="apple-style-span"/>
          <w:rFonts w:ascii="David" w:hAnsi="David" w:cs="David"/>
          <w:color w:val="31303D"/>
          <w:shd w:val="clear" w:color="auto" w:fill="FFFFFF"/>
        </w:rPr>
        <w:t xml:space="preserve">, </w:t>
      </w:r>
      <w:r w:rsidRPr="003D365F">
        <w:rPr>
          <w:rStyle w:val="apple-style-span"/>
          <w:rFonts w:ascii="David" w:hAnsi="David" w:cs="David"/>
        </w:rPr>
        <w:t>Didier</w:t>
      </w:r>
      <w:r w:rsidRPr="003D365F">
        <w:rPr>
          <w:rStyle w:val="apple-style-span"/>
          <w:rFonts w:ascii="David" w:hAnsi="David" w:cs="David"/>
          <w:color w:val="31303D"/>
          <w:shd w:val="clear" w:color="auto" w:fill="FFFFFF"/>
        </w:rPr>
        <w:t xml:space="preserve"> and Richard </w:t>
      </w:r>
      <w:proofErr w:type="spellStart"/>
      <w:r w:rsidRPr="003D365F">
        <w:rPr>
          <w:rStyle w:val="apple-style-span"/>
          <w:rFonts w:ascii="David" w:hAnsi="David" w:cs="David"/>
          <w:color w:val="31303D"/>
          <w:shd w:val="clear" w:color="auto" w:fill="FFFFFF"/>
        </w:rPr>
        <w:t>Rechtman</w:t>
      </w:r>
      <w:proofErr w:type="spellEnd"/>
      <w:r w:rsidRPr="003D365F">
        <w:rPr>
          <w:rStyle w:val="apple-style-span"/>
          <w:rFonts w:ascii="David" w:hAnsi="David" w:cs="David"/>
          <w:color w:val="31303D"/>
          <w:shd w:val="clear" w:color="auto" w:fill="FFFFFF"/>
        </w:rPr>
        <w:t>.</w:t>
      </w:r>
      <w:proofErr w:type="gramEnd"/>
      <w:r w:rsidRPr="003D365F">
        <w:rPr>
          <w:rStyle w:val="apple-style-span"/>
          <w:rFonts w:ascii="David" w:hAnsi="David" w:cs="David"/>
          <w:color w:val="31303D"/>
          <w:shd w:val="clear" w:color="auto" w:fill="FFFFFF"/>
        </w:rPr>
        <w:t xml:space="preserve"> </w:t>
      </w:r>
      <w:r w:rsidRPr="003D365F">
        <w:rPr>
          <w:rStyle w:val="apple-style-span"/>
          <w:rFonts w:ascii="David" w:hAnsi="David" w:cs="David"/>
          <w:i/>
          <w:iCs/>
          <w:color w:val="31303D"/>
          <w:shd w:val="clear" w:color="auto" w:fill="FFFFFF"/>
        </w:rPr>
        <w:t>Empire of Trauma: An Inquiry into the Condition of Victimhood.</w:t>
      </w:r>
      <w:r w:rsidRPr="003D365F">
        <w:rPr>
          <w:rStyle w:val="apple-style-span"/>
          <w:rFonts w:ascii="David" w:hAnsi="David" w:cs="David"/>
          <w:color w:val="31303D"/>
          <w:shd w:val="clear" w:color="auto" w:fill="FFFFFF"/>
        </w:rPr>
        <w:t xml:space="preserve"> Trans: Rachel </w:t>
      </w:r>
      <w:proofErr w:type="spellStart"/>
      <w:r w:rsidRPr="003D365F">
        <w:rPr>
          <w:rStyle w:val="apple-style-span"/>
          <w:rFonts w:ascii="David" w:hAnsi="David" w:cs="David"/>
          <w:color w:val="31303D"/>
          <w:shd w:val="clear" w:color="auto" w:fill="FFFFFF"/>
        </w:rPr>
        <w:t>Gomme</w:t>
      </w:r>
      <w:proofErr w:type="spellEnd"/>
      <w:r w:rsidRPr="003D365F">
        <w:rPr>
          <w:rStyle w:val="apple-style-span"/>
          <w:rFonts w:ascii="David" w:hAnsi="David" w:cs="David"/>
          <w:color w:val="31303D"/>
          <w:shd w:val="clear" w:color="auto" w:fill="FFFFFF"/>
        </w:rPr>
        <w:t xml:space="preserve">. Princeton: Princeton U P, 2009. </w:t>
      </w:r>
    </w:p>
    <w:p w:rsidR="00C22220" w:rsidRPr="003D365F" w:rsidRDefault="00C22220" w:rsidP="003D365F">
      <w:pPr>
        <w:pStyle w:val="bibeng"/>
      </w:pPr>
      <w:proofErr w:type="spellStart"/>
      <w:r w:rsidRPr="003D365F">
        <w:lastRenderedPageBreak/>
        <w:t>Jaffee</w:t>
      </w:r>
      <w:proofErr w:type="spellEnd"/>
      <w:r w:rsidRPr="003D365F">
        <w:t xml:space="preserve">, Martin S. "The Victim-Community in Myth and History: Holocaust Ritual, the Question of Palestine and the </w:t>
      </w:r>
      <w:proofErr w:type="spellStart"/>
      <w:r w:rsidRPr="003D365F">
        <w:t>Rhetoricof</w:t>
      </w:r>
      <w:proofErr w:type="spellEnd"/>
      <w:r w:rsidRPr="003D365F">
        <w:t xml:space="preserve"> Christian Witness," </w:t>
      </w:r>
      <w:r w:rsidRPr="003D365F">
        <w:rPr>
          <w:i/>
          <w:iCs/>
        </w:rPr>
        <w:t>Journal of Ecumenical Studies</w:t>
      </w:r>
      <w:r w:rsidRPr="003D365F">
        <w:t xml:space="preserve"> 28.2 (1991): 223-238.</w:t>
      </w:r>
    </w:p>
    <w:p w:rsidR="00C22220" w:rsidRPr="003D365F" w:rsidRDefault="00C22220" w:rsidP="003D365F">
      <w:pPr>
        <w:pStyle w:val="bibeng"/>
      </w:pPr>
      <w:r w:rsidRPr="003D365F">
        <w:t>Kaplan, E. Ann. "Melodrama, Cinema and Trauma,"</w:t>
      </w:r>
      <w:r w:rsidRPr="003D365F">
        <w:rPr>
          <w:i/>
          <w:iCs/>
        </w:rPr>
        <w:t xml:space="preserve"> Screen</w:t>
      </w:r>
      <w:r w:rsidRPr="003D365F">
        <w:t xml:space="preserve"> 42 no. 2 (2001): 201-205</w:t>
      </w:r>
    </w:p>
    <w:p w:rsidR="00C22220" w:rsidRPr="003D365F" w:rsidRDefault="00C22220" w:rsidP="003D365F">
      <w:pPr>
        <w:pStyle w:val="bibeng"/>
      </w:pPr>
      <w:r w:rsidRPr="003D365F">
        <w:t xml:space="preserve">Walker, Janet. </w:t>
      </w:r>
      <w:r w:rsidRPr="003D365F">
        <w:rPr>
          <w:i/>
          <w:iCs/>
        </w:rPr>
        <w:t>Trauma Cinema: Documenting Incest and the Holocaust</w:t>
      </w:r>
      <w:r w:rsidRPr="003D365F">
        <w:t>. Berkeley: U of California P, 2005.</w:t>
      </w:r>
    </w:p>
    <w:p w:rsidR="00C22220" w:rsidRPr="003D365F" w:rsidRDefault="00C22220" w:rsidP="003D365F">
      <w:pPr>
        <w:rPr>
          <w:rtl/>
        </w:rPr>
      </w:pPr>
    </w:p>
    <w:p w:rsidR="00C22220" w:rsidRPr="003D365F" w:rsidRDefault="00C22220" w:rsidP="003D365F">
      <w:pPr>
        <w:pStyle w:val="Heading3"/>
        <w:rPr>
          <w:rtl/>
        </w:rPr>
      </w:pPr>
      <w:r w:rsidRPr="003D365F">
        <w:rPr>
          <w:rtl/>
        </w:rPr>
        <w:t>הזהות הגברית והמדיום הנשי</w:t>
      </w:r>
    </w:p>
    <w:p w:rsidR="00C22220" w:rsidRPr="003D365F" w:rsidRDefault="00C22220" w:rsidP="003D365F">
      <w:pPr>
        <w:pStyle w:val="a1"/>
        <w:rPr>
          <w:rtl/>
        </w:rPr>
      </w:pPr>
      <w:r w:rsidRPr="003D365F">
        <w:rPr>
          <w:rtl/>
        </w:rPr>
        <w:t xml:space="preserve">גלוזמן, מיכאל. הגוף הציוני: לאומיות, מגדר ומיניות בספרות העברית החדשה. תל אביב: הוצאת הקיבוץ המאוחד, 2007. </w:t>
      </w:r>
    </w:p>
    <w:p w:rsidR="00C22220" w:rsidRPr="003D365F" w:rsidRDefault="00C22220" w:rsidP="003D365F">
      <w:pPr>
        <w:pStyle w:val="a1"/>
        <w:rPr>
          <w:rtl/>
        </w:rPr>
      </w:pPr>
      <w:r w:rsidRPr="003D365F">
        <w:rPr>
          <w:rtl/>
        </w:rPr>
        <w:t xml:space="preserve">חרל"פ, איתי. "זו לא טלוויזיה, זה בטיפול: דיון בשיח האיכות של בטיפול". </w:t>
      </w:r>
      <w:r w:rsidRPr="003D365F">
        <w:rPr>
          <w:b/>
          <w:bCs/>
          <w:rtl/>
        </w:rPr>
        <w:t>מסגרות מדיה</w:t>
      </w:r>
      <w:r w:rsidRPr="003D365F">
        <w:rPr>
          <w:rtl/>
        </w:rPr>
        <w:t>, 6: 30-1.</w:t>
      </w:r>
    </w:p>
    <w:p w:rsidR="00C22220" w:rsidRPr="003D365F" w:rsidRDefault="00C22220" w:rsidP="003D365F">
      <w:pPr>
        <w:pStyle w:val="a1"/>
        <w:rPr>
          <w:rtl/>
        </w:rPr>
      </w:pPr>
      <w:r w:rsidRPr="003D365F">
        <w:rPr>
          <w:rtl/>
        </w:rPr>
        <w:t xml:space="preserve">יוסף, רז. "הגוף הצבאי: מזוכיזם ויחסים הומואירוטיים בסרטי החבורה הצבאית", </w:t>
      </w:r>
      <w:r w:rsidRPr="003D365F">
        <w:rPr>
          <w:b/>
          <w:bCs/>
          <w:rtl/>
        </w:rPr>
        <w:t>לדעת גבר: מיניות, גבריות ואתניות בקולנוע הישראלי</w:t>
      </w:r>
      <w:r w:rsidRPr="003D365F">
        <w:rPr>
          <w:rtl/>
        </w:rPr>
        <w:t>. תל אביב: הקיבוץ המאוחד, 2010. 57-89.</w:t>
      </w:r>
    </w:p>
    <w:p w:rsidR="00C22220" w:rsidRPr="003D365F" w:rsidRDefault="00C22220" w:rsidP="003D365F">
      <w:pPr>
        <w:pStyle w:val="a1"/>
        <w:rPr>
          <w:rtl/>
        </w:rPr>
      </w:pPr>
      <w:r w:rsidRPr="003D365F">
        <w:rPr>
          <w:rtl/>
        </w:rPr>
        <w:t xml:space="preserve">מורג, רעיה. </w:t>
      </w:r>
      <w:r w:rsidRPr="003D365F">
        <w:rPr>
          <w:b/>
          <w:bCs/>
          <w:rtl/>
        </w:rPr>
        <w:t xml:space="preserve">הגבר המובס: קולנוע, טראומה, מלחמה. </w:t>
      </w:r>
      <w:r w:rsidRPr="003D365F">
        <w:rPr>
          <w:rtl/>
        </w:rPr>
        <w:t xml:space="preserve">תל אביב: רסלינג, 2011. </w:t>
      </w:r>
    </w:p>
    <w:p w:rsidR="00C22220" w:rsidRPr="003D365F" w:rsidRDefault="00C22220" w:rsidP="003D365F">
      <w:pPr>
        <w:pStyle w:val="a1"/>
        <w:rPr>
          <w:rtl/>
        </w:rPr>
      </w:pPr>
      <w:r w:rsidRPr="003D365F">
        <w:rPr>
          <w:rtl/>
        </w:rPr>
        <w:t xml:space="preserve">פרויד, זיגמונד. "האני והסתם". </w:t>
      </w:r>
      <w:r w:rsidRPr="003D365F">
        <w:rPr>
          <w:b/>
          <w:bCs/>
          <w:rtl/>
        </w:rPr>
        <w:t>כתבי זיגמונד פרויד</w:t>
      </w:r>
      <w:r w:rsidRPr="003D365F">
        <w:rPr>
          <w:rtl/>
        </w:rPr>
        <w:t xml:space="preserve"> כרך רביעי מסות נבחרות ג. תרגום: חיים איזק. תל אביב: דביר</w:t>
      </w:r>
      <w:r w:rsidRPr="003D365F">
        <w:t>.</w:t>
      </w:r>
      <w:r w:rsidRPr="003D365F">
        <w:rPr>
          <w:rtl/>
        </w:rPr>
        <w:t xml:space="preserve"> 170-138.</w:t>
      </w:r>
    </w:p>
    <w:p w:rsidR="00C22220" w:rsidRPr="003D365F" w:rsidRDefault="00C22220" w:rsidP="003D365F">
      <w:pPr>
        <w:pStyle w:val="a1"/>
        <w:rPr>
          <w:rtl/>
        </w:rPr>
      </w:pPr>
      <w:r w:rsidRPr="003D365F">
        <w:rPr>
          <w:rtl/>
        </w:rPr>
        <w:t xml:space="preserve">פרויד, זיגמונד. </w:t>
      </w:r>
      <w:r w:rsidRPr="003D365F">
        <w:rPr>
          <w:b/>
          <w:bCs/>
          <w:rtl/>
        </w:rPr>
        <w:t>אבל ומנלנכוליה</w:t>
      </w:r>
      <w:r w:rsidRPr="003D365F">
        <w:rPr>
          <w:rtl/>
        </w:rPr>
        <w:t xml:space="preserve">. תרגום: אדם טננבאום. תל אביב: רסלינג, 2002. </w:t>
      </w:r>
    </w:p>
    <w:p w:rsidR="00C22220" w:rsidRPr="003D365F" w:rsidRDefault="00C22220" w:rsidP="003D365F">
      <w:pPr>
        <w:pStyle w:val="a1"/>
        <w:rPr>
          <w:rtl/>
        </w:rPr>
      </w:pPr>
      <w:r w:rsidRPr="003D365F">
        <w:rPr>
          <w:rtl/>
        </w:rPr>
        <w:t xml:space="preserve">קליין, מלאני. "הערות לכמה מנגנונים סכיזואידיים", </w:t>
      </w:r>
      <w:r w:rsidRPr="003D365F">
        <w:rPr>
          <w:b/>
          <w:bCs/>
          <w:rtl/>
        </w:rPr>
        <w:t>כתבים נבחרים</w:t>
      </w:r>
      <w:r w:rsidRPr="003D365F">
        <w:rPr>
          <w:rtl/>
        </w:rPr>
        <w:t xml:space="preserve">. תרגום: אורה זילברשטיין. תל אביב: תולעת ספרים, 2003. 177-203. </w:t>
      </w:r>
    </w:p>
    <w:p w:rsidR="00C22220" w:rsidRPr="003D365F" w:rsidRDefault="00C22220" w:rsidP="003D365F">
      <w:pPr>
        <w:pStyle w:val="a1"/>
      </w:pPr>
      <w:r w:rsidRPr="003D365F">
        <w:rPr>
          <w:rtl/>
        </w:rPr>
        <w:t xml:space="preserve">קמיר, אורית. "ציונות, גבריות ופמיניזם: הילכן השלושה יחדיו בלית אם נועדו?" </w:t>
      </w:r>
      <w:r w:rsidRPr="003D365F">
        <w:rPr>
          <w:b/>
          <w:bCs/>
          <w:rtl/>
        </w:rPr>
        <w:t xml:space="preserve">עיונים בתקומת ישראל: מגדר בישראל. </w:t>
      </w:r>
      <w:r w:rsidRPr="003D365F">
        <w:rPr>
          <w:rtl/>
        </w:rPr>
        <w:t xml:space="preserve">עורכים: </w:t>
      </w:r>
      <w:r w:rsidRPr="003D365F">
        <w:rPr>
          <w:shd w:val="clear" w:color="auto" w:fill="FFFFFF"/>
          <w:rtl/>
        </w:rPr>
        <w:t>מרגלית שילה, גדעון כ"ץ</w:t>
      </w:r>
      <w:r w:rsidRPr="003D365F">
        <w:rPr>
          <w:rtl/>
        </w:rPr>
        <w:t xml:space="preserve">. באר שבע: מכון בן גוריון, 2011. 470-443. </w:t>
      </w:r>
    </w:p>
    <w:p w:rsidR="00C22220" w:rsidRPr="003D365F" w:rsidRDefault="00C22220" w:rsidP="003D365F">
      <w:pPr>
        <w:pStyle w:val="bibeng"/>
        <w:rPr>
          <w:szCs w:val="22"/>
          <w:rtl/>
        </w:rPr>
      </w:pPr>
      <w:proofErr w:type="gramStart"/>
      <w:r w:rsidRPr="003D365F">
        <w:t>Kaplan, E. Ann. ‘‘Trauma and Aging.’’</w:t>
      </w:r>
      <w:proofErr w:type="gramEnd"/>
      <w:r w:rsidRPr="003D365F">
        <w:t xml:space="preserve"> </w:t>
      </w:r>
      <w:r w:rsidRPr="003D365F">
        <w:rPr>
          <w:i/>
          <w:iCs/>
        </w:rPr>
        <w:t>Figuring Age: Women, Bodies, Generations</w:t>
      </w:r>
      <w:r w:rsidRPr="003D365F">
        <w:t xml:space="preserve">, edited by </w:t>
      </w:r>
      <w:proofErr w:type="gramStart"/>
      <w:r w:rsidRPr="003D365F">
        <w:t>Kathleen  Woodward</w:t>
      </w:r>
      <w:proofErr w:type="gramEnd"/>
      <w:r w:rsidRPr="003D365F">
        <w:t xml:space="preserve">. </w:t>
      </w:r>
      <w:proofErr w:type="gramStart"/>
      <w:r w:rsidRPr="003D365F">
        <w:t>171–94.</w:t>
      </w:r>
      <w:proofErr w:type="gramEnd"/>
      <w:r w:rsidRPr="003D365F">
        <w:t xml:space="preserve"> Bloomington: Indiana UP, 1999.</w:t>
      </w:r>
    </w:p>
    <w:p w:rsidR="00C22220" w:rsidRPr="003D365F" w:rsidRDefault="00C22220" w:rsidP="003D365F">
      <w:pPr>
        <w:pStyle w:val="bibeng"/>
      </w:pPr>
      <w:r w:rsidRPr="003D365F">
        <w:t xml:space="preserve">Petro, Patrice. "Mass Culture and Feminine: The 'Place' of Television in Film Studies," </w:t>
      </w:r>
      <w:r w:rsidRPr="003D365F">
        <w:rPr>
          <w:i/>
          <w:iCs/>
        </w:rPr>
        <w:t>Cinema Journal</w:t>
      </w:r>
      <w:r w:rsidRPr="003D365F">
        <w:t xml:space="preserve"> 25 no.3 (1986): 5-21. </w:t>
      </w:r>
    </w:p>
    <w:p w:rsidR="00C22220" w:rsidRPr="003D365F" w:rsidRDefault="00C22220" w:rsidP="003D365F">
      <w:pPr>
        <w:pStyle w:val="Heading3"/>
        <w:rPr>
          <w:rtl/>
        </w:rPr>
      </w:pPr>
      <w:r w:rsidRPr="003D365F">
        <w:rPr>
          <w:rtl/>
        </w:rPr>
        <w:t>זהויות היברידיות – בין מזרחיות לערביות</w:t>
      </w:r>
    </w:p>
    <w:p w:rsidR="00C22220" w:rsidRPr="003D365F" w:rsidRDefault="00C22220" w:rsidP="003D365F">
      <w:pPr>
        <w:pStyle w:val="a1"/>
      </w:pPr>
      <w:r w:rsidRPr="003D365F">
        <w:rPr>
          <w:rtl/>
        </w:rPr>
        <w:t xml:space="preserve">אבוטבול, גיא, לב גרינברג ופנינה מוצפי-האלר, </w:t>
      </w:r>
      <w:r w:rsidRPr="003D365F">
        <w:rPr>
          <w:b/>
          <w:bCs/>
          <w:rtl/>
        </w:rPr>
        <w:t>קולות מזרחיים: לקראת שיח מזרחי חדש על החברה והתרבות הישראלים</w:t>
      </w:r>
      <w:r w:rsidRPr="003D365F">
        <w:rPr>
          <w:rtl/>
        </w:rPr>
        <w:t xml:space="preserve">, תל אביב: מסדה, 2005. </w:t>
      </w:r>
    </w:p>
    <w:p w:rsidR="00C22220" w:rsidRPr="003D365F" w:rsidRDefault="00C22220" w:rsidP="003D365F">
      <w:pPr>
        <w:pStyle w:val="a1"/>
        <w:rPr>
          <w:rtl/>
        </w:rPr>
      </w:pPr>
      <w:r w:rsidRPr="003D365F">
        <w:rPr>
          <w:rtl/>
        </w:rPr>
        <w:t>באבא, הומי ק, "שאלת האחר: הבדל,</w:t>
      </w:r>
      <w:r w:rsidRPr="003D365F">
        <w:t xml:space="preserve"> </w:t>
      </w:r>
      <w:r w:rsidRPr="003D365F">
        <w:rPr>
          <w:rtl/>
        </w:rPr>
        <w:t xml:space="preserve">אפליה ושיח קולוניאלי", תרגום: עדי אופיר, </w:t>
      </w:r>
      <w:r w:rsidRPr="003D365F">
        <w:rPr>
          <w:b/>
          <w:bCs/>
          <w:rtl/>
        </w:rPr>
        <w:t>תיאוריה וביקורת</w:t>
      </w:r>
      <w:r w:rsidRPr="003D365F">
        <w:rPr>
          <w:rtl/>
        </w:rPr>
        <w:t xml:space="preserve"> 5 (1994): 158-144.</w:t>
      </w:r>
    </w:p>
    <w:p w:rsidR="00C22220" w:rsidRPr="003D365F" w:rsidRDefault="00C22220" w:rsidP="003D365F">
      <w:pPr>
        <w:pStyle w:val="a1"/>
        <w:rPr>
          <w:rtl/>
        </w:rPr>
      </w:pPr>
      <w:r w:rsidRPr="003D365F">
        <w:rPr>
          <w:rtl/>
        </w:rPr>
        <w:t>בן שאול, ניצן. "מתחים</w:t>
      </w:r>
      <w:r w:rsidRPr="003D365F">
        <w:t xml:space="preserve"> </w:t>
      </w:r>
      <w:r w:rsidRPr="003D365F">
        <w:rPr>
          <w:rtl/>
        </w:rPr>
        <w:t>בין</w:t>
      </w:r>
      <w:r w:rsidRPr="003D365F">
        <w:t xml:space="preserve"> </w:t>
      </w:r>
      <w:r w:rsidRPr="003D365F">
        <w:rPr>
          <w:rtl/>
        </w:rPr>
        <w:t>עדתיות</w:t>
      </w:r>
      <w:r w:rsidRPr="003D365F">
        <w:t xml:space="preserve"> </w:t>
      </w:r>
      <w:r w:rsidRPr="003D365F">
        <w:rPr>
          <w:rtl/>
        </w:rPr>
        <w:t>ללאום</w:t>
      </w:r>
      <w:r w:rsidRPr="003D365F">
        <w:t xml:space="preserve"> </w:t>
      </w:r>
      <w:r w:rsidRPr="003D365F">
        <w:rPr>
          <w:rtl/>
        </w:rPr>
        <w:t>וביטוים בייצוג</w:t>
      </w:r>
      <w:r w:rsidRPr="003D365F">
        <w:t xml:space="preserve"> </w:t>
      </w:r>
      <w:r w:rsidRPr="003D365F">
        <w:rPr>
          <w:rtl/>
        </w:rPr>
        <w:t>המרחב</w:t>
      </w:r>
      <w:r w:rsidRPr="003D365F">
        <w:t xml:space="preserve"> </w:t>
      </w:r>
      <w:r w:rsidRPr="003D365F">
        <w:rPr>
          <w:rtl/>
        </w:rPr>
        <w:t>בקולנוע</w:t>
      </w:r>
      <w:r w:rsidRPr="003D365F">
        <w:t xml:space="preserve"> </w:t>
      </w:r>
      <w:r w:rsidRPr="003D365F">
        <w:rPr>
          <w:rtl/>
        </w:rPr>
        <w:t xml:space="preserve">הישראלי", </w:t>
      </w:r>
      <w:r w:rsidRPr="003D365F">
        <w:rPr>
          <w:b/>
          <w:bCs/>
          <w:rtl/>
        </w:rPr>
        <w:t xml:space="preserve">ישראל </w:t>
      </w:r>
      <w:r w:rsidRPr="003D365F">
        <w:rPr>
          <w:rtl/>
        </w:rPr>
        <w:t xml:space="preserve">14 (2008): 166-151. </w:t>
      </w:r>
    </w:p>
    <w:p w:rsidR="00C22220" w:rsidRPr="003D365F" w:rsidRDefault="00C22220" w:rsidP="003D365F">
      <w:pPr>
        <w:pStyle w:val="a1"/>
        <w:rPr>
          <w:rtl/>
        </w:rPr>
      </w:pPr>
      <w:r w:rsidRPr="003D365F">
        <w:rPr>
          <w:rtl/>
        </w:rPr>
        <w:t xml:space="preserve">ברגור, איילת. אופרת הסבון הישראלית: מרמת אביב ג' ועד לאלופה. תל אביב: רסלינג, 2011. </w:t>
      </w:r>
    </w:p>
    <w:p w:rsidR="00C22220" w:rsidRPr="003D365F" w:rsidRDefault="00C22220" w:rsidP="003D365F">
      <w:pPr>
        <w:pStyle w:val="a1"/>
        <w:rPr>
          <w:rtl/>
        </w:rPr>
      </w:pPr>
      <w:r w:rsidRPr="003D365F">
        <w:rPr>
          <w:rtl/>
        </w:rPr>
        <w:t xml:space="preserve">יוסף, רז. "הברוכים הבאים לג'ונגל: גבריות מזרחית ופוליטיקה מינית", </w:t>
      </w:r>
      <w:r w:rsidRPr="003D365F">
        <w:rPr>
          <w:b/>
          <w:bCs/>
          <w:rtl/>
        </w:rPr>
        <w:t>לדעת גבר: מיניות, גבריות ואתניות בקולנוע הישראלי</w:t>
      </w:r>
      <w:r w:rsidRPr="003D365F">
        <w:rPr>
          <w:rtl/>
        </w:rPr>
        <w:t>. תל אביב: הקיבוץ המאוחד, 2010. 109-143.</w:t>
      </w:r>
    </w:p>
    <w:p w:rsidR="00C22220" w:rsidRPr="003D365F" w:rsidRDefault="00C22220" w:rsidP="003D365F">
      <w:pPr>
        <w:pStyle w:val="a1"/>
        <w:rPr>
          <w:rtl/>
        </w:rPr>
      </w:pPr>
      <w:r w:rsidRPr="003D365F">
        <w:rPr>
          <w:rtl/>
        </w:rPr>
        <w:t xml:space="preserve">מונק, יעל. </w:t>
      </w:r>
      <w:r w:rsidRPr="003D365F">
        <w:rPr>
          <w:b/>
          <w:bCs/>
          <w:rtl/>
        </w:rPr>
        <w:t>גולים בגבולם: הקולנוע הישראלי במפנה האלף</w:t>
      </w:r>
      <w:r w:rsidRPr="003D365F">
        <w:rPr>
          <w:rtl/>
        </w:rPr>
        <w:t xml:space="preserve">. רעננה: האוניברסיטה הפתוחה, 2012. </w:t>
      </w:r>
    </w:p>
    <w:p w:rsidR="00C22220" w:rsidRPr="003D365F" w:rsidRDefault="00C22220" w:rsidP="003D365F">
      <w:pPr>
        <w:pStyle w:val="a1"/>
        <w:rPr>
          <w:rtl/>
        </w:rPr>
      </w:pPr>
      <w:r w:rsidRPr="003D365F">
        <w:rPr>
          <w:rtl/>
        </w:rPr>
        <w:t xml:space="preserve">קיזל, אריה. "הנרטיב המזרחי החדש: רב תרבותיות אנטי הגמונית", </w:t>
      </w:r>
      <w:r w:rsidRPr="003D365F">
        <w:rPr>
          <w:b/>
          <w:bCs/>
          <w:rtl/>
        </w:rPr>
        <w:t>הנרטיב המזרחי החדש</w:t>
      </w:r>
      <w:r w:rsidRPr="003D365F">
        <w:rPr>
          <w:rtl/>
        </w:rPr>
        <w:t xml:space="preserve">. תל אביב: רסלינג, 2014. 111-175. </w:t>
      </w:r>
    </w:p>
    <w:p w:rsidR="00C22220" w:rsidRPr="003D365F" w:rsidRDefault="00C22220" w:rsidP="003D365F">
      <w:pPr>
        <w:pStyle w:val="a1"/>
        <w:rPr>
          <w:rtl/>
        </w:rPr>
      </w:pPr>
      <w:r w:rsidRPr="003D365F">
        <w:rPr>
          <w:rtl/>
        </w:rPr>
        <w:t xml:space="preserve">שיפמן, לימור. הערס, הפרחה והאמא הפולנייה: שסעים חברתיים והומור טלוויזיוני בישראל 2000-1968. ירושלים: מגנס, 2008. </w:t>
      </w:r>
    </w:p>
    <w:p w:rsidR="00C22220" w:rsidRPr="003D365F" w:rsidRDefault="00C22220" w:rsidP="003D365F">
      <w:pPr>
        <w:pStyle w:val="bibeng"/>
      </w:pPr>
      <w:proofErr w:type="spellStart"/>
      <w:r w:rsidRPr="003D365F">
        <w:lastRenderedPageBreak/>
        <w:t>Bhabha</w:t>
      </w:r>
      <w:proofErr w:type="spellEnd"/>
      <w:r w:rsidRPr="003D365F">
        <w:t xml:space="preserve">, </w:t>
      </w:r>
      <w:proofErr w:type="spellStart"/>
      <w:r w:rsidRPr="003D365F">
        <w:t>Homi</w:t>
      </w:r>
      <w:proofErr w:type="spellEnd"/>
      <w:r w:rsidRPr="003D365F">
        <w:t xml:space="preserve">. "Of Mimicry and Man: The </w:t>
      </w:r>
      <w:proofErr w:type="spellStart"/>
      <w:r w:rsidRPr="003D365F">
        <w:t>Ambivalance</w:t>
      </w:r>
      <w:proofErr w:type="spellEnd"/>
      <w:r w:rsidRPr="003D365F">
        <w:t xml:space="preserve"> of Colonial Discourse</w:t>
      </w:r>
      <w:r w:rsidRPr="003D365F">
        <w:rPr>
          <w:i/>
          <w:iCs/>
        </w:rPr>
        <w:t>." The Location of Culture</w:t>
      </w:r>
      <w:r w:rsidRPr="003D365F">
        <w:t xml:space="preserve">, New York and London: Routledge, 1994. </w:t>
      </w:r>
      <w:proofErr w:type="gramStart"/>
      <w:r w:rsidRPr="003D365F">
        <w:t>85-92.</w:t>
      </w:r>
      <w:proofErr w:type="gramEnd"/>
    </w:p>
    <w:p w:rsidR="00C22220" w:rsidRPr="003D365F" w:rsidRDefault="00C22220" w:rsidP="003D365F">
      <w:pPr>
        <w:pStyle w:val="Heading3"/>
        <w:rPr>
          <w:rtl/>
        </w:rPr>
      </w:pPr>
      <w:r w:rsidRPr="003D365F">
        <w:rPr>
          <w:rtl/>
        </w:rPr>
        <w:t>זהויות הומונורמטיביות – בין הקווירי לנורמטיבי</w:t>
      </w:r>
    </w:p>
    <w:p w:rsidR="00C22220" w:rsidRPr="003D365F" w:rsidRDefault="00C22220" w:rsidP="003D365F">
      <w:pPr>
        <w:pStyle w:val="a1"/>
        <w:rPr>
          <w:rtl/>
        </w:rPr>
      </w:pPr>
      <w:r w:rsidRPr="003D365F">
        <w:rPr>
          <w:rtl/>
        </w:rPr>
        <w:t xml:space="preserve">גרוס, אייל, "הפוליטיקה של זכויות להט"ב: בין (הומו) נורמטיביות ו(הומו) לאומיות לפוליטיקה קווירית", </w:t>
      </w:r>
      <w:r w:rsidRPr="003D365F">
        <w:rPr>
          <w:b/>
          <w:bCs/>
          <w:rtl/>
        </w:rPr>
        <w:t>מעשי משפט</w:t>
      </w:r>
      <w:r w:rsidRPr="003D365F">
        <w:rPr>
          <w:rtl/>
        </w:rPr>
        <w:t xml:space="preserve">, ה' (2013): 141-101. </w:t>
      </w:r>
    </w:p>
    <w:p w:rsidR="00C22220" w:rsidRPr="003D365F" w:rsidRDefault="00C22220" w:rsidP="003D365F">
      <w:pPr>
        <w:pStyle w:val="a1"/>
        <w:rPr>
          <w:rtl/>
        </w:rPr>
      </w:pPr>
      <w:r w:rsidRPr="003D365F">
        <w:rPr>
          <w:rtl/>
        </w:rPr>
        <w:t xml:space="preserve">יוסף, רז. "הפוליטיקה של הנורמלי: מין ואומה בקולנוע של איתן פוקס ועמוס גוטמן", </w:t>
      </w:r>
      <w:r w:rsidRPr="003D365F">
        <w:rPr>
          <w:b/>
          <w:bCs/>
          <w:rtl/>
        </w:rPr>
        <w:t>לדעת גבר: מיניות, גבריות ואתניות בקולנוע הישראלי</w:t>
      </w:r>
      <w:r w:rsidRPr="003D365F">
        <w:rPr>
          <w:rtl/>
        </w:rPr>
        <w:t>. תל אביב: הקיבוץ המאוחד, 2010. 57-89</w:t>
      </w:r>
    </w:p>
    <w:p w:rsidR="00C22220" w:rsidRPr="003D365F" w:rsidRDefault="00C22220" w:rsidP="003D365F">
      <w:pPr>
        <w:rPr>
          <w:rtl/>
        </w:rPr>
      </w:pPr>
    </w:p>
    <w:p w:rsidR="00C22220" w:rsidRPr="003D365F" w:rsidRDefault="00C22220" w:rsidP="003D365F">
      <w:pPr>
        <w:rPr>
          <w:rtl/>
        </w:rPr>
      </w:pPr>
    </w:p>
    <w:p w:rsidR="00C22220" w:rsidRPr="003D365F" w:rsidRDefault="00C22220" w:rsidP="003D365F">
      <w:pPr>
        <w:rPr>
          <w:rtl/>
        </w:rPr>
      </w:pPr>
    </w:p>
    <w:p w:rsidR="00C22220" w:rsidRPr="003D365F" w:rsidRDefault="00C22220" w:rsidP="003D365F">
      <w:pPr>
        <w:rPr>
          <w:rtl/>
        </w:rPr>
      </w:pPr>
    </w:p>
    <w:p w:rsidR="00C22220" w:rsidRPr="003D365F" w:rsidRDefault="00C22220" w:rsidP="003D365F">
      <w:pPr>
        <w:rPr>
          <w:rtl/>
        </w:rPr>
      </w:pPr>
    </w:p>
    <w:p w:rsidR="00927788" w:rsidRPr="003D365F" w:rsidRDefault="00927788" w:rsidP="003D365F">
      <w:pPr>
        <w:pStyle w:val="Heading3"/>
        <w:rPr>
          <w:rtl/>
        </w:rPr>
      </w:pPr>
    </w:p>
    <w:p w:rsidR="00DF025F" w:rsidRPr="003D365F" w:rsidRDefault="00DF025F" w:rsidP="003D365F">
      <w:pPr>
        <w:rPr>
          <w:sz w:val="27"/>
          <w:szCs w:val="27"/>
          <w:rtl/>
        </w:rPr>
      </w:pPr>
      <w:r w:rsidRPr="003D365F">
        <w:rPr>
          <w:rtl/>
        </w:rPr>
        <w:t> </w:t>
      </w:r>
    </w:p>
    <w:p w:rsidR="00AD5520" w:rsidRPr="003D365F" w:rsidRDefault="00AD5520" w:rsidP="003D365F"/>
    <w:sectPr w:rsidR="00AD5520" w:rsidRPr="003D365F" w:rsidSect="006930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54D4"/>
    <w:multiLevelType w:val="hybridMultilevel"/>
    <w:tmpl w:val="069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27D1A"/>
    <w:multiLevelType w:val="hybridMultilevel"/>
    <w:tmpl w:val="20269A5C"/>
    <w:lvl w:ilvl="0" w:tplc="313298A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5F"/>
    <w:rsid w:val="000178F1"/>
    <w:rsid w:val="00031002"/>
    <w:rsid w:val="00084A9F"/>
    <w:rsid w:val="001A5194"/>
    <w:rsid w:val="001E7F14"/>
    <w:rsid w:val="002373D7"/>
    <w:rsid w:val="00283F9B"/>
    <w:rsid w:val="00291AF5"/>
    <w:rsid w:val="002E720B"/>
    <w:rsid w:val="00343980"/>
    <w:rsid w:val="003924F8"/>
    <w:rsid w:val="003B7324"/>
    <w:rsid w:val="003D05AB"/>
    <w:rsid w:val="003D365F"/>
    <w:rsid w:val="003E613A"/>
    <w:rsid w:val="003F26CC"/>
    <w:rsid w:val="004A0D2B"/>
    <w:rsid w:val="004C61C5"/>
    <w:rsid w:val="00512C4D"/>
    <w:rsid w:val="005A3029"/>
    <w:rsid w:val="005F2383"/>
    <w:rsid w:val="00676147"/>
    <w:rsid w:val="00693021"/>
    <w:rsid w:val="00703BD3"/>
    <w:rsid w:val="00713F5E"/>
    <w:rsid w:val="00737B60"/>
    <w:rsid w:val="0076725E"/>
    <w:rsid w:val="0085543C"/>
    <w:rsid w:val="00916EE3"/>
    <w:rsid w:val="00927788"/>
    <w:rsid w:val="00A6687F"/>
    <w:rsid w:val="00AD236F"/>
    <w:rsid w:val="00AD5520"/>
    <w:rsid w:val="00C22220"/>
    <w:rsid w:val="00D467BC"/>
    <w:rsid w:val="00DF025F"/>
    <w:rsid w:val="00E373C0"/>
    <w:rsid w:val="00EF3427"/>
    <w:rsid w:val="00F36EA9"/>
    <w:rsid w:val="00F7774C"/>
    <w:rsid w:val="00FD6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5F"/>
    <w:pPr>
      <w:bidi/>
      <w:spacing w:line="360" w:lineRule="auto"/>
      <w:jc w:val="both"/>
    </w:pPr>
    <w:rPr>
      <w:rFonts w:ascii="David" w:hAnsi="David" w:cs="David"/>
      <w:sz w:val="24"/>
      <w:szCs w:val="24"/>
    </w:rPr>
  </w:style>
  <w:style w:type="paragraph" w:styleId="Heading1">
    <w:name w:val="heading 1"/>
    <w:basedOn w:val="Normal"/>
    <w:link w:val="Heading1Char"/>
    <w:uiPriority w:val="9"/>
    <w:qFormat/>
    <w:rsid w:val="00DF02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02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65F"/>
    <w:pPr>
      <w:keepNext/>
      <w:spacing w:before="240" w:after="120" w:line="240" w:lineRule="auto"/>
      <w:outlineLvl w:val="2"/>
    </w:pPr>
    <w:rPr>
      <w:rFonts w:eastAsia="Times New Roman"/>
      <w:b/>
      <w:bCs/>
      <w:color w:val="000000"/>
      <w:sz w:val="28"/>
      <w:szCs w:val="28"/>
    </w:rPr>
  </w:style>
  <w:style w:type="paragraph" w:styleId="Heading5">
    <w:name w:val="heading 5"/>
    <w:basedOn w:val="Normal"/>
    <w:link w:val="Heading5Char"/>
    <w:uiPriority w:val="9"/>
    <w:qFormat/>
    <w:rsid w:val="00DF025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F025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65F"/>
    <w:rPr>
      <w:rFonts w:ascii="David" w:eastAsia="Times New Roman" w:hAnsi="David" w:cs="David"/>
      <w:b/>
      <w:bCs/>
      <w:color w:val="000000"/>
      <w:sz w:val="28"/>
      <w:szCs w:val="28"/>
    </w:rPr>
  </w:style>
  <w:style w:type="character" w:customStyle="1" w:styleId="Heading5Char">
    <w:name w:val="Heading 5 Char"/>
    <w:basedOn w:val="DefaultParagraphFont"/>
    <w:link w:val="Heading5"/>
    <w:uiPriority w:val="9"/>
    <w:rsid w:val="00DF02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025F"/>
    <w:rPr>
      <w:rFonts w:ascii="Times New Roman" w:eastAsia="Times New Roman" w:hAnsi="Times New Roman" w:cs="Times New Roman"/>
      <w:b/>
      <w:bCs/>
      <w:sz w:val="15"/>
      <w:szCs w:val="15"/>
    </w:rPr>
  </w:style>
  <w:style w:type="paragraph" w:customStyle="1" w:styleId="12">
    <w:name w:val="12"/>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DF025F"/>
  </w:style>
  <w:style w:type="character" w:customStyle="1" w:styleId="spelle">
    <w:name w:val="spelle"/>
    <w:basedOn w:val="DefaultParagraphFont"/>
    <w:rsid w:val="00DF025F"/>
  </w:style>
  <w:style w:type="paragraph" w:customStyle="1" w:styleId="a0">
    <w:name w:val="a0"/>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styleId="IntenseEmphasis">
    <w:name w:val="Intense Emphasis"/>
    <w:basedOn w:val="DefaultParagraphFont"/>
    <w:uiPriority w:val="21"/>
    <w:qFormat/>
    <w:rsid w:val="00DF025F"/>
  </w:style>
  <w:style w:type="paragraph" w:customStyle="1" w:styleId="1">
    <w:name w:val="1"/>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025F"/>
  </w:style>
  <w:style w:type="paragraph" w:customStyle="1" w:styleId="bibeng0">
    <w:name w:val="bibeng0"/>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customStyle="1" w:styleId="grame">
    <w:name w:val="grame"/>
    <w:basedOn w:val="DefaultParagraphFont"/>
    <w:rsid w:val="00DF025F"/>
  </w:style>
  <w:style w:type="character" w:styleId="Emphasis">
    <w:name w:val="Emphasis"/>
    <w:basedOn w:val="DefaultParagraphFont"/>
    <w:uiPriority w:val="20"/>
    <w:qFormat/>
    <w:rsid w:val="00DF025F"/>
    <w:rPr>
      <w:i/>
      <w:iCs/>
    </w:rPr>
  </w:style>
  <w:style w:type="paragraph" w:customStyle="1" w:styleId="bibeng">
    <w:name w:val="bib eng"/>
    <w:basedOn w:val="Normal"/>
    <w:link w:val="bibeng1"/>
    <w:qFormat/>
    <w:rsid w:val="001E7F14"/>
    <w:pPr>
      <w:bidi w:val="0"/>
      <w:spacing w:after="120" w:line="240" w:lineRule="auto"/>
      <w:ind w:left="567" w:hanging="567"/>
    </w:pPr>
    <w:rPr>
      <w:rFonts w:ascii="Times New Roman" w:eastAsia="Times New Roman" w:hAnsi="Times New Roman" w:cs="Times New Roman"/>
      <w:szCs w:val="20"/>
    </w:rPr>
  </w:style>
  <w:style w:type="character" w:customStyle="1" w:styleId="bibeng1">
    <w:name w:val="bib eng תו"/>
    <w:link w:val="bibeng"/>
    <w:locked/>
    <w:rsid w:val="001E7F14"/>
    <w:rPr>
      <w:rFonts w:ascii="Times New Roman" w:eastAsia="Times New Roman" w:hAnsi="Times New Roman" w:cs="Times New Roman"/>
      <w:sz w:val="24"/>
      <w:szCs w:val="20"/>
    </w:rPr>
  </w:style>
  <w:style w:type="paragraph" w:styleId="NoSpacing">
    <w:name w:val="No Spacing"/>
    <w:basedOn w:val="Normal"/>
    <w:uiPriority w:val="1"/>
    <w:qFormat/>
    <w:rsid w:val="001E7F14"/>
    <w:pPr>
      <w:spacing w:before="240" w:after="60" w:line="240" w:lineRule="auto"/>
      <w:outlineLvl w:val="4"/>
    </w:pPr>
    <w:rPr>
      <w:rFonts w:ascii="Verdana" w:eastAsia="Times New Roman" w:hAnsi="Verdana"/>
      <w:b/>
      <w:bCs/>
      <w:i/>
      <w:iCs/>
      <w:color w:val="FF0000"/>
      <w:sz w:val="26"/>
      <w:szCs w:val="26"/>
    </w:rPr>
  </w:style>
  <w:style w:type="character" w:customStyle="1" w:styleId="a">
    <w:name w:val="ביב עבר תו"/>
    <w:basedOn w:val="DefaultParagraphFont"/>
    <w:link w:val="a1"/>
    <w:locked/>
    <w:rsid w:val="0085543C"/>
    <w:rPr>
      <w:rFonts w:asciiTheme="majorBidi" w:hAnsiTheme="majorBidi" w:cstheme="majorBidi"/>
      <w:sz w:val="24"/>
      <w:szCs w:val="24"/>
    </w:rPr>
  </w:style>
  <w:style w:type="paragraph" w:customStyle="1" w:styleId="a1">
    <w:name w:val="ביב עבר"/>
    <w:basedOn w:val="Normal"/>
    <w:link w:val="a"/>
    <w:qFormat/>
    <w:rsid w:val="0085543C"/>
    <w:pPr>
      <w:spacing w:after="120" w:line="240" w:lineRule="auto"/>
      <w:ind w:left="567" w:hanging="567"/>
    </w:pPr>
  </w:style>
  <w:style w:type="paragraph" w:styleId="ListParagraph">
    <w:name w:val="List Paragraph"/>
    <w:basedOn w:val="Normal"/>
    <w:uiPriority w:val="34"/>
    <w:qFormat/>
    <w:rsid w:val="001A5194"/>
    <w:pPr>
      <w:ind w:left="720"/>
      <w:contextualSpacing/>
    </w:pPr>
  </w:style>
  <w:style w:type="paragraph" w:styleId="Title">
    <w:name w:val="Title"/>
    <w:basedOn w:val="Subtitle"/>
    <w:next w:val="Normal"/>
    <w:link w:val="TitleChar"/>
    <w:uiPriority w:val="10"/>
    <w:qFormat/>
    <w:rsid w:val="00C22220"/>
    <w:pPr>
      <w:numPr>
        <w:ilvl w:val="0"/>
      </w:numPr>
      <w:spacing w:before="240" w:after="120"/>
      <w:outlineLvl w:val="0"/>
    </w:pPr>
    <w:rPr>
      <w:rFonts w:ascii="David" w:eastAsia="Times New Roman" w:hAnsi="David"/>
      <w:b/>
      <w:bCs/>
      <w:i w:val="0"/>
      <w:iCs w:val="0"/>
      <w:color w:val="auto"/>
      <w:spacing w:val="0"/>
      <w:sz w:val="28"/>
      <w:szCs w:val="28"/>
      <w:u w:val="single"/>
    </w:rPr>
  </w:style>
  <w:style w:type="character" w:customStyle="1" w:styleId="TitleChar">
    <w:name w:val="Title Char"/>
    <w:basedOn w:val="DefaultParagraphFont"/>
    <w:link w:val="Title"/>
    <w:uiPriority w:val="10"/>
    <w:rsid w:val="00C22220"/>
    <w:rPr>
      <w:rFonts w:ascii="David" w:eastAsia="Times New Roman" w:hAnsi="David" w:cs="David"/>
      <w:b/>
      <w:bCs/>
      <w:sz w:val="28"/>
      <w:szCs w:val="28"/>
      <w:u w:val="single"/>
    </w:rPr>
  </w:style>
  <w:style w:type="character" w:customStyle="1" w:styleId="apple-style-span">
    <w:name w:val="apple-style-span"/>
    <w:basedOn w:val="DefaultParagraphFont"/>
    <w:rsid w:val="00C22220"/>
  </w:style>
  <w:style w:type="character" w:customStyle="1" w:styleId="exlresultdetails">
    <w:name w:val="exlresultdetails"/>
    <w:uiPriority w:val="99"/>
    <w:rsid w:val="00C22220"/>
  </w:style>
  <w:style w:type="paragraph" w:styleId="Subtitle">
    <w:name w:val="Subtitle"/>
    <w:basedOn w:val="Normal"/>
    <w:next w:val="Normal"/>
    <w:link w:val="SubtitleChar"/>
    <w:uiPriority w:val="11"/>
    <w:qFormat/>
    <w:rsid w:val="00C22220"/>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C22220"/>
    <w:rPr>
      <w:rFonts w:asciiTheme="majorHAnsi" w:eastAsiaTheme="majorEastAsia" w:hAnsiTheme="majorHAnsi" w:cstheme="majorBidi"/>
      <w:i/>
      <w:iCs/>
      <w:color w:val="4F81BD" w:themeColor="accent1"/>
      <w:spacing w:val="15"/>
      <w:sz w:val="24"/>
      <w:szCs w:val="24"/>
    </w:rPr>
  </w:style>
  <w:style w:type="paragraph" w:customStyle="1" w:styleId="bib">
    <w:name w:val="bib"/>
    <w:basedOn w:val="Normal"/>
    <w:link w:val="bibChar"/>
    <w:qFormat/>
    <w:rsid w:val="003D365F"/>
    <w:pPr>
      <w:bidi w:val="0"/>
      <w:spacing w:before="100" w:beforeAutospacing="1" w:after="100" w:afterAutospacing="1" w:line="240" w:lineRule="auto"/>
      <w:ind w:left="851" w:hanging="851"/>
      <w:jc w:val="left"/>
    </w:pPr>
    <w:rPr>
      <w:rFonts w:eastAsia="Times New Roman"/>
    </w:rPr>
  </w:style>
  <w:style w:type="character" w:customStyle="1" w:styleId="bibChar">
    <w:name w:val="bib Char"/>
    <w:basedOn w:val="DefaultParagraphFont"/>
    <w:link w:val="bib"/>
    <w:rsid w:val="003D365F"/>
    <w:rPr>
      <w:rFonts w:ascii="David" w:eastAsia="Times New Roman" w:hAnsi="David"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5F"/>
    <w:pPr>
      <w:bidi/>
      <w:spacing w:line="360" w:lineRule="auto"/>
      <w:jc w:val="both"/>
    </w:pPr>
    <w:rPr>
      <w:rFonts w:ascii="David" w:hAnsi="David" w:cs="David"/>
      <w:sz w:val="24"/>
      <w:szCs w:val="24"/>
    </w:rPr>
  </w:style>
  <w:style w:type="paragraph" w:styleId="Heading1">
    <w:name w:val="heading 1"/>
    <w:basedOn w:val="Normal"/>
    <w:link w:val="Heading1Char"/>
    <w:uiPriority w:val="9"/>
    <w:qFormat/>
    <w:rsid w:val="00DF02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02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65F"/>
    <w:pPr>
      <w:keepNext/>
      <w:spacing w:before="240" w:after="120" w:line="240" w:lineRule="auto"/>
      <w:outlineLvl w:val="2"/>
    </w:pPr>
    <w:rPr>
      <w:rFonts w:eastAsia="Times New Roman"/>
      <w:b/>
      <w:bCs/>
      <w:color w:val="000000"/>
      <w:sz w:val="28"/>
      <w:szCs w:val="28"/>
    </w:rPr>
  </w:style>
  <w:style w:type="paragraph" w:styleId="Heading5">
    <w:name w:val="heading 5"/>
    <w:basedOn w:val="Normal"/>
    <w:link w:val="Heading5Char"/>
    <w:uiPriority w:val="9"/>
    <w:qFormat/>
    <w:rsid w:val="00DF025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F025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65F"/>
    <w:rPr>
      <w:rFonts w:ascii="David" w:eastAsia="Times New Roman" w:hAnsi="David" w:cs="David"/>
      <w:b/>
      <w:bCs/>
      <w:color w:val="000000"/>
      <w:sz w:val="28"/>
      <w:szCs w:val="28"/>
    </w:rPr>
  </w:style>
  <w:style w:type="character" w:customStyle="1" w:styleId="Heading5Char">
    <w:name w:val="Heading 5 Char"/>
    <w:basedOn w:val="DefaultParagraphFont"/>
    <w:link w:val="Heading5"/>
    <w:uiPriority w:val="9"/>
    <w:rsid w:val="00DF02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025F"/>
    <w:rPr>
      <w:rFonts w:ascii="Times New Roman" w:eastAsia="Times New Roman" w:hAnsi="Times New Roman" w:cs="Times New Roman"/>
      <w:b/>
      <w:bCs/>
      <w:sz w:val="15"/>
      <w:szCs w:val="15"/>
    </w:rPr>
  </w:style>
  <w:style w:type="paragraph" w:customStyle="1" w:styleId="12">
    <w:name w:val="12"/>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DF025F"/>
  </w:style>
  <w:style w:type="character" w:customStyle="1" w:styleId="spelle">
    <w:name w:val="spelle"/>
    <w:basedOn w:val="DefaultParagraphFont"/>
    <w:rsid w:val="00DF025F"/>
  </w:style>
  <w:style w:type="paragraph" w:customStyle="1" w:styleId="a0">
    <w:name w:val="a0"/>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styleId="IntenseEmphasis">
    <w:name w:val="Intense Emphasis"/>
    <w:basedOn w:val="DefaultParagraphFont"/>
    <w:uiPriority w:val="21"/>
    <w:qFormat/>
    <w:rsid w:val="00DF025F"/>
  </w:style>
  <w:style w:type="paragraph" w:customStyle="1" w:styleId="1">
    <w:name w:val="1"/>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025F"/>
  </w:style>
  <w:style w:type="paragraph" w:customStyle="1" w:styleId="bibeng0">
    <w:name w:val="bibeng0"/>
    <w:basedOn w:val="Normal"/>
    <w:rsid w:val="00DF025F"/>
    <w:pPr>
      <w:bidi w:val="0"/>
      <w:spacing w:before="100" w:beforeAutospacing="1" w:after="100" w:afterAutospacing="1" w:line="240" w:lineRule="auto"/>
    </w:pPr>
    <w:rPr>
      <w:rFonts w:ascii="Times New Roman" w:eastAsia="Times New Roman" w:hAnsi="Times New Roman" w:cs="Times New Roman"/>
    </w:rPr>
  </w:style>
  <w:style w:type="character" w:customStyle="1" w:styleId="grame">
    <w:name w:val="grame"/>
    <w:basedOn w:val="DefaultParagraphFont"/>
    <w:rsid w:val="00DF025F"/>
  </w:style>
  <w:style w:type="character" w:styleId="Emphasis">
    <w:name w:val="Emphasis"/>
    <w:basedOn w:val="DefaultParagraphFont"/>
    <w:uiPriority w:val="20"/>
    <w:qFormat/>
    <w:rsid w:val="00DF025F"/>
    <w:rPr>
      <w:i/>
      <w:iCs/>
    </w:rPr>
  </w:style>
  <w:style w:type="paragraph" w:customStyle="1" w:styleId="bibeng">
    <w:name w:val="bib eng"/>
    <w:basedOn w:val="Normal"/>
    <w:link w:val="bibeng1"/>
    <w:qFormat/>
    <w:rsid w:val="001E7F14"/>
    <w:pPr>
      <w:bidi w:val="0"/>
      <w:spacing w:after="120" w:line="240" w:lineRule="auto"/>
      <w:ind w:left="567" w:hanging="567"/>
    </w:pPr>
    <w:rPr>
      <w:rFonts w:ascii="Times New Roman" w:eastAsia="Times New Roman" w:hAnsi="Times New Roman" w:cs="Times New Roman"/>
      <w:szCs w:val="20"/>
    </w:rPr>
  </w:style>
  <w:style w:type="character" w:customStyle="1" w:styleId="bibeng1">
    <w:name w:val="bib eng תו"/>
    <w:link w:val="bibeng"/>
    <w:locked/>
    <w:rsid w:val="001E7F14"/>
    <w:rPr>
      <w:rFonts w:ascii="Times New Roman" w:eastAsia="Times New Roman" w:hAnsi="Times New Roman" w:cs="Times New Roman"/>
      <w:sz w:val="24"/>
      <w:szCs w:val="20"/>
    </w:rPr>
  </w:style>
  <w:style w:type="paragraph" w:styleId="NoSpacing">
    <w:name w:val="No Spacing"/>
    <w:basedOn w:val="Normal"/>
    <w:uiPriority w:val="1"/>
    <w:qFormat/>
    <w:rsid w:val="001E7F14"/>
    <w:pPr>
      <w:spacing w:before="240" w:after="60" w:line="240" w:lineRule="auto"/>
      <w:outlineLvl w:val="4"/>
    </w:pPr>
    <w:rPr>
      <w:rFonts w:ascii="Verdana" w:eastAsia="Times New Roman" w:hAnsi="Verdana"/>
      <w:b/>
      <w:bCs/>
      <w:i/>
      <w:iCs/>
      <w:color w:val="FF0000"/>
      <w:sz w:val="26"/>
      <w:szCs w:val="26"/>
    </w:rPr>
  </w:style>
  <w:style w:type="character" w:customStyle="1" w:styleId="a">
    <w:name w:val="ביב עבר תו"/>
    <w:basedOn w:val="DefaultParagraphFont"/>
    <w:link w:val="a1"/>
    <w:locked/>
    <w:rsid w:val="0085543C"/>
    <w:rPr>
      <w:rFonts w:asciiTheme="majorBidi" w:hAnsiTheme="majorBidi" w:cstheme="majorBidi"/>
      <w:sz w:val="24"/>
      <w:szCs w:val="24"/>
    </w:rPr>
  </w:style>
  <w:style w:type="paragraph" w:customStyle="1" w:styleId="a1">
    <w:name w:val="ביב עבר"/>
    <w:basedOn w:val="Normal"/>
    <w:link w:val="a"/>
    <w:qFormat/>
    <w:rsid w:val="0085543C"/>
    <w:pPr>
      <w:spacing w:after="120" w:line="240" w:lineRule="auto"/>
      <w:ind w:left="567" w:hanging="567"/>
    </w:pPr>
  </w:style>
  <w:style w:type="paragraph" w:styleId="ListParagraph">
    <w:name w:val="List Paragraph"/>
    <w:basedOn w:val="Normal"/>
    <w:uiPriority w:val="34"/>
    <w:qFormat/>
    <w:rsid w:val="001A5194"/>
    <w:pPr>
      <w:ind w:left="720"/>
      <w:contextualSpacing/>
    </w:pPr>
  </w:style>
  <w:style w:type="paragraph" w:styleId="Title">
    <w:name w:val="Title"/>
    <w:basedOn w:val="Subtitle"/>
    <w:next w:val="Normal"/>
    <w:link w:val="TitleChar"/>
    <w:uiPriority w:val="10"/>
    <w:qFormat/>
    <w:rsid w:val="00C22220"/>
    <w:pPr>
      <w:numPr>
        <w:ilvl w:val="0"/>
      </w:numPr>
      <w:spacing w:before="240" w:after="120"/>
      <w:outlineLvl w:val="0"/>
    </w:pPr>
    <w:rPr>
      <w:rFonts w:ascii="David" w:eastAsia="Times New Roman" w:hAnsi="David"/>
      <w:b/>
      <w:bCs/>
      <w:i w:val="0"/>
      <w:iCs w:val="0"/>
      <w:color w:val="auto"/>
      <w:spacing w:val="0"/>
      <w:sz w:val="28"/>
      <w:szCs w:val="28"/>
      <w:u w:val="single"/>
    </w:rPr>
  </w:style>
  <w:style w:type="character" w:customStyle="1" w:styleId="TitleChar">
    <w:name w:val="Title Char"/>
    <w:basedOn w:val="DefaultParagraphFont"/>
    <w:link w:val="Title"/>
    <w:uiPriority w:val="10"/>
    <w:rsid w:val="00C22220"/>
    <w:rPr>
      <w:rFonts w:ascii="David" w:eastAsia="Times New Roman" w:hAnsi="David" w:cs="David"/>
      <w:b/>
      <w:bCs/>
      <w:sz w:val="28"/>
      <w:szCs w:val="28"/>
      <w:u w:val="single"/>
    </w:rPr>
  </w:style>
  <w:style w:type="character" w:customStyle="1" w:styleId="apple-style-span">
    <w:name w:val="apple-style-span"/>
    <w:basedOn w:val="DefaultParagraphFont"/>
    <w:rsid w:val="00C22220"/>
  </w:style>
  <w:style w:type="character" w:customStyle="1" w:styleId="exlresultdetails">
    <w:name w:val="exlresultdetails"/>
    <w:uiPriority w:val="99"/>
    <w:rsid w:val="00C22220"/>
  </w:style>
  <w:style w:type="paragraph" w:styleId="Subtitle">
    <w:name w:val="Subtitle"/>
    <w:basedOn w:val="Normal"/>
    <w:next w:val="Normal"/>
    <w:link w:val="SubtitleChar"/>
    <w:uiPriority w:val="11"/>
    <w:qFormat/>
    <w:rsid w:val="00C22220"/>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C22220"/>
    <w:rPr>
      <w:rFonts w:asciiTheme="majorHAnsi" w:eastAsiaTheme="majorEastAsia" w:hAnsiTheme="majorHAnsi" w:cstheme="majorBidi"/>
      <w:i/>
      <w:iCs/>
      <w:color w:val="4F81BD" w:themeColor="accent1"/>
      <w:spacing w:val="15"/>
      <w:sz w:val="24"/>
      <w:szCs w:val="24"/>
    </w:rPr>
  </w:style>
  <w:style w:type="paragraph" w:customStyle="1" w:styleId="bib">
    <w:name w:val="bib"/>
    <w:basedOn w:val="Normal"/>
    <w:link w:val="bibChar"/>
    <w:qFormat/>
    <w:rsid w:val="003D365F"/>
    <w:pPr>
      <w:bidi w:val="0"/>
      <w:spacing w:before="100" w:beforeAutospacing="1" w:after="100" w:afterAutospacing="1" w:line="240" w:lineRule="auto"/>
      <w:ind w:left="851" w:hanging="851"/>
      <w:jc w:val="left"/>
    </w:pPr>
    <w:rPr>
      <w:rFonts w:eastAsia="Times New Roman"/>
    </w:rPr>
  </w:style>
  <w:style w:type="character" w:customStyle="1" w:styleId="bibChar">
    <w:name w:val="bib Char"/>
    <w:basedOn w:val="DefaultParagraphFont"/>
    <w:link w:val="bib"/>
    <w:rsid w:val="003D365F"/>
    <w:rPr>
      <w:rFonts w:ascii="David" w:eastAsia="Times New Roman"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26674">
      <w:bodyDiv w:val="1"/>
      <w:marLeft w:val="0"/>
      <w:marRight w:val="0"/>
      <w:marTop w:val="0"/>
      <w:marBottom w:val="0"/>
      <w:divBdr>
        <w:top w:val="none" w:sz="0" w:space="0" w:color="auto"/>
        <w:left w:val="none" w:sz="0" w:space="0" w:color="auto"/>
        <w:bottom w:val="none" w:sz="0" w:space="0" w:color="auto"/>
        <w:right w:val="none" w:sz="0" w:space="0" w:color="auto"/>
      </w:divBdr>
    </w:div>
    <w:div w:id="1980845027">
      <w:bodyDiv w:val="1"/>
      <w:marLeft w:val="0"/>
      <w:marRight w:val="0"/>
      <w:marTop w:val="0"/>
      <w:marBottom w:val="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2318</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user</cp:lastModifiedBy>
  <cp:revision>3</cp:revision>
  <dcterms:created xsi:type="dcterms:W3CDTF">2017-04-27T18:50:00Z</dcterms:created>
  <dcterms:modified xsi:type="dcterms:W3CDTF">2017-07-24T11:57:00Z</dcterms:modified>
</cp:coreProperties>
</file>